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附表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4</w:t>
      </w:r>
    </w:p>
    <w:p>
      <w:pPr>
        <w:spacing w:line="360" w:lineRule="auto"/>
        <w:jc w:val="center"/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风险分类表</w:t>
      </w:r>
    </w:p>
    <w:tbl>
      <w:tblPr>
        <w:tblStyle w:val="3"/>
        <w:tblW w:w="963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3728"/>
        <w:gridCol w:w="615"/>
        <w:gridCol w:w="47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3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宏观经济风险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2</w:t>
            </w: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  <w:t>金融业务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风险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3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政策风险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2</w:t>
            </w: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  <w:t>现金流风险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3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国际化经营风险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2</w:t>
            </w: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  <w:t>财务管理风险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</w:p>
        </w:tc>
        <w:tc>
          <w:tcPr>
            <w:tcW w:w="3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战略管理风险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2</w:t>
            </w: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担保风险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</w:t>
            </w:r>
          </w:p>
        </w:tc>
        <w:tc>
          <w:tcPr>
            <w:tcW w:w="3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业务结构和转型风险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2</w:t>
            </w: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</w:rPr>
              <w:t>关联交易风险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</w:t>
            </w:r>
          </w:p>
        </w:tc>
        <w:tc>
          <w:tcPr>
            <w:tcW w:w="3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>投资风险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2</w:t>
            </w: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合同管理风险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7</w:t>
            </w:r>
          </w:p>
        </w:tc>
        <w:tc>
          <w:tcPr>
            <w:tcW w:w="3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公司治理风险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/>
                <w:color w:val="auto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</w:rPr>
              <w:t>2</w:t>
            </w: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/>
                <w:color w:val="auto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法律纠纷风险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8</w:t>
            </w:r>
          </w:p>
        </w:tc>
        <w:tc>
          <w:tcPr>
            <w:tcW w:w="3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集团管控风险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2</w:t>
            </w: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知识产权风险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9</w:t>
            </w:r>
          </w:p>
        </w:tc>
        <w:tc>
          <w:tcPr>
            <w:tcW w:w="3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  <w:t>竞争风险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>29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</w:rPr>
              <w:t>土地、矿权、房屋等权属风险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10</w:t>
            </w:r>
          </w:p>
        </w:tc>
        <w:tc>
          <w:tcPr>
            <w:tcW w:w="3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  <w:t>采购风险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3</w:t>
            </w: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  <w:t>人力资源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风险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11</w:t>
            </w:r>
          </w:p>
        </w:tc>
        <w:tc>
          <w:tcPr>
            <w:tcW w:w="3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  <w:t>生产管理风险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3</w:t>
            </w: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廉洁风险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12</w:t>
            </w:r>
          </w:p>
        </w:tc>
        <w:tc>
          <w:tcPr>
            <w:tcW w:w="3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  <w:t>仓储物流风险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3</w:t>
            </w: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保密风险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13</w:t>
            </w:r>
          </w:p>
        </w:tc>
        <w:tc>
          <w:tcPr>
            <w:tcW w:w="3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  <w:t>工程项目管理风险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3</w:t>
            </w: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  <w:lang w:eastAsia="zh-CN"/>
              </w:rPr>
              <w:t>敏感信息</w:t>
            </w: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</w:rPr>
              <w:t>风险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14</w:t>
            </w:r>
          </w:p>
        </w:tc>
        <w:tc>
          <w:tcPr>
            <w:tcW w:w="3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  <w:t>质量风险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3</w:t>
            </w: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  <w:t>信息系统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风险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15</w:t>
            </w:r>
          </w:p>
        </w:tc>
        <w:tc>
          <w:tcPr>
            <w:tcW w:w="3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  <w:t>健康安全环保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风险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3</w:t>
            </w: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  <w:t>内部整合和协同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风险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16</w:t>
            </w:r>
          </w:p>
        </w:tc>
        <w:tc>
          <w:tcPr>
            <w:tcW w:w="3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  <w:t>研发风险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3</w:t>
            </w: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  <w:t>企业文化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风险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17</w:t>
            </w:r>
          </w:p>
        </w:tc>
        <w:tc>
          <w:tcPr>
            <w:tcW w:w="3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  <w:t>信用风险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3</w:t>
            </w: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  <w:t>品牌与声誉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风险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18</w:t>
            </w:r>
          </w:p>
        </w:tc>
        <w:tc>
          <w:tcPr>
            <w:tcW w:w="3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  <w:t>价格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风险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3</w:t>
            </w: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  <w:t>社会责任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风险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19</w:t>
            </w:r>
          </w:p>
        </w:tc>
        <w:tc>
          <w:tcPr>
            <w:tcW w:w="3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  <w:lang w:eastAsia="zh-CN"/>
              </w:rPr>
              <w:t>汇利率</w:t>
            </w: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</w:rPr>
              <w:t>风险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>39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  <w:t>公共关系风险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</w:t>
            </w:r>
          </w:p>
        </w:tc>
        <w:tc>
          <w:tcPr>
            <w:tcW w:w="3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  <w:t>衍生品交易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风险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4</w:t>
            </w: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  <w:t>舆情风险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7E06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zxf</dc:creator>
  <cp:lastModifiedBy>zxf</cp:lastModifiedBy>
  <dcterms:modified xsi:type="dcterms:W3CDTF">2018-09-18T02:22:55Z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