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0"/>
        <w:rPr>
          <w:rFonts w:ascii="Times New Roman"/>
          <w:sz w:val="28"/>
        </w:rPr>
      </w:pPr>
    </w:p>
    <w:p>
      <w:pPr>
        <w:spacing w:before="68"/>
        <w:ind w:left="800" w:right="940"/>
        <w:jc w:val="center"/>
        <w:rPr>
          <w:rFonts w:ascii="宋体" w:eastAsia="宋体"/>
          <w:b/>
          <w:sz w:val="84"/>
        </w:rPr>
      </w:pPr>
      <w:bookmarkStart w:id="40" w:name="_GoBack"/>
      <w:r>
        <w:rPr>
          <w:rFonts w:hint="eastAsia" w:ascii="Times New Roman" w:eastAsia="宋体"/>
          <w:b/>
          <w:sz w:val="84"/>
        </w:rPr>
        <w:t>国资委研究中心</w:t>
      </w:r>
      <w:r>
        <w:rPr>
          <w:rFonts w:ascii="Times New Roman" w:eastAsia="Times New Roman"/>
          <w:b/>
          <w:sz w:val="84"/>
        </w:rPr>
        <w:t>202</w:t>
      </w:r>
      <w:r>
        <w:rPr>
          <w:rFonts w:hint="eastAsia" w:ascii="Times New Roman" w:eastAsia="宋体"/>
          <w:b/>
          <w:sz w:val="84"/>
          <w:lang w:val="en-US" w:eastAsia="zh-CN"/>
        </w:rPr>
        <w:t>2</w:t>
      </w:r>
      <w:r>
        <w:rPr>
          <w:rFonts w:hint="eastAsia" w:ascii="宋体" w:eastAsia="宋体"/>
          <w:b/>
          <w:sz w:val="84"/>
        </w:rPr>
        <w:t>年度部门决算</w:t>
      </w:r>
      <w:bookmarkEnd w:id="40"/>
    </w:p>
    <w:p>
      <w:pPr>
        <w:jc w:val="center"/>
        <w:rPr>
          <w:rFonts w:ascii="宋体" w:eastAsia="宋体"/>
          <w:sz w:val="84"/>
        </w:rPr>
        <w:sectPr>
          <w:footerReference r:id="rId3" w:type="default"/>
          <w:type w:val="continuous"/>
          <w:pgSz w:w="11910" w:h="16840"/>
          <w:pgMar w:top="1580" w:right="1520" w:bottom="280" w:left="1660" w:header="720" w:footer="720" w:gutter="0"/>
          <w:cols w:space="720" w:num="1"/>
        </w:sectPr>
      </w:pPr>
    </w:p>
    <w:p>
      <w:pPr>
        <w:pStyle w:val="2"/>
        <w:spacing w:before="24"/>
        <w:ind w:right="940" w:firstLine="0"/>
        <w:jc w:val="center"/>
      </w:pPr>
      <w:r>
        <w:t>目 录</w:t>
      </w:r>
    </w:p>
    <w:sdt>
      <w:sdtPr>
        <w:id w:val="-128551042"/>
        <w:docPartObj>
          <w:docPartGallery w:val="Table of Contents"/>
          <w:docPartUnique/>
        </w:docPartObj>
      </w:sdtPr>
      <w:sdtContent>
        <w:p>
          <w:pPr>
            <w:pStyle w:val="7"/>
            <w:tabs>
              <w:tab w:val="right" w:leader="dot" w:pos="8437"/>
            </w:tabs>
            <w:spacing w:before="260"/>
            <w:rPr>
              <w:rFonts w:ascii="Times New Roman" w:eastAsia="Times New Roman"/>
            </w:rPr>
          </w:pPr>
          <w:r>
            <w:fldChar w:fldCharType="begin"/>
          </w:r>
          <w:r>
            <w:instrText xml:space="preserve"> HYPERLINK \l "_bookmark0" </w:instrText>
          </w:r>
          <w:r>
            <w:fldChar w:fldCharType="separate"/>
          </w:r>
          <w:r>
            <w:t>一、</w:t>
          </w:r>
          <w:r>
            <w:rPr>
              <w:rFonts w:hint="eastAsia"/>
            </w:rPr>
            <w:t>国资委研究中心</w:t>
          </w:r>
          <w:r>
            <w:t>基本情况</w:t>
          </w:r>
          <w:r>
            <w:tab/>
          </w:r>
          <w:r>
            <w:rPr>
              <w:rFonts w:ascii="Times New Roman" w:eastAsia="Times New Roman"/>
            </w:rPr>
            <w:t>1</w:t>
          </w:r>
          <w:r>
            <w:rPr>
              <w:rFonts w:ascii="Times New Roman" w:eastAsia="Times New Roman"/>
            </w:rPr>
            <w:fldChar w:fldCharType="end"/>
          </w:r>
        </w:p>
        <w:p>
          <w:pPr>
            <w:pStyle w:val="8"/>
            <w:tabs>
              <w:tab w:val="right" w:leader="dot" w:pos="8452"/>
            </w:tabs>
            <w:rPr>
              <w:rFonts w:ascii="Times New Roman" w:eastAsia="Times New Roman"/>
            </w:rPr>
          </w:pPr>
          <w:r>
            <w:fldChar w:fldCharType="begin"/>
          </w:r>
          <w:r>
            <w:instrText xml:space="preserve"> HYPERLINK \l "_bookmark1" </w:instrText>
          </w:r>
          <w:r>
            <w:fldChar w:fldCharType="separate"/>
          </w:r>
          <w:r>
            <w:rPr>
              <w:spacing w:val="-39"/>
            </w:rPr>
            <w:t>（</w:t>
          </w:r>
          <w:r>
            <w:rPr>
              <w:spacing w:val="-41"/>
            </w:rPr>
            <w:t>一</w:t>
          </w:r>
          <w:r>
            <w:rPr>
              <w:spacing w:val="-39"/>
            </w:rPr>
            <w:t>）部</w:t>
          </w:r>
          <w:r>
            <w:rPr>
              <w:spacing w:val="-41"/>
            </w:rPr>
            <w:t>门</w:t>
          </w:r>
          <w:r>
            <w:rPr>
              <w:spacing w:val="-39"/>
            </w:rPr>
            <w:t>职责</w:t>
          </w:r>
          <w:r>
            <w:rPr>
              <w:spacing w:val="-39"/>
            </w:rPr>
            <w:tab/>
          </w:r>
          <w:r>
            <w:rPr>
              <w:rFonts w:ascii="Times New Roman" w:eastAsia="Times New Roman"/>
            </w:rPr>
            <w:t>1</w:t>
          </w:r>
          <w:r>
            <w:rPr>
              <w:rFonts w:ascii="Times New Roman" w:eastAsia="Times New Roman"/>
            </w:rPr>
            <w:fldChar w:fldCharType="end"/>
          </w:r>
        </w:p>
        <w:p>
          <w:pPr>
            <w:pStyle w:val="8"/>
            <w:tabs>
              <w:tab w:val="right" w:leader="dot" w:pos="8452"/>
            </w:tabs>
            <w:spacing w:before="62"/>
            <w:rPr>
              <w:rFonts w:ascii="Times New Roman" w:eastAsia="Times New Roman"/>
            </w:rPr>
          </w:pPr>
          <w:r>
            <w:fldChar w:fldCharType="begin"/>
          </w:r>
          <w:r>
            <w:instrText xml:space="preserve"> HYPERLINK \l "_bookmark2" </w:instrText>
          </w:r>
          <w:r>
            <w:fldChar w:fldCharType="separate"/>
          </w:r>
          <w:r>
            <w:rPr>
              <w:spacing w:val="-39"/>
            </w:rPr>
            <w:t>（</w:t>
          </w:r>
          <w:r>
            <w:rPr>
              <w:spacing w:val="-41"/>
            </w:rPr>
            <w:t>二</w:t>
          </w:r>
          <w:r>
            <w:rPr>
              <w:spacing w:val="-39"/>
            </w:rPr>
            <w:t>）部</w:t>
          </w:r>
          <w:r>
            <w:rPr>
              <w:spacing w:val="-41"/>
            </w:rPr>
            <w:t>门</w:t>
          </w:r>
          <w:r>
            <w:rPr>
              <w:spacing w:val="-39"/>
            </w:rPr>
            <w:t>机构</w:t>
          </w:r>
          <w:r>
            <w:rPr>
              <w:spacing w:val="-41"/>
            </w:rPr>
            <w:t>设</w:t>
          </w:r>
          <w:r>
            <w:rPr>
              <w:spacing w:val="-39"/>
            </w:rPr>
            <w:t>置</w:t>
          </w:r>
          <w:r>
            <w:rPr>
              <w:spacing w:val="-39"/>
            </w:rPr>
            <w:tab/>
          </w:r>
          <w:r>
            <w:rPr>
              <w:rFonts w:hint="eastAsia" w:ascii="Times New Roman" w:eastAsia="宋体"/>
              <w:lang w:val="en-US"/>
            </w:rPr>
            <w:t>1</w:t>
          </w:r>
          <w:r>
            <w:rPr>
              <w:rFonts w:hint="eastAsia" w:ascii="Times New Roman" w:eastAsia="宋体"/>
              <w:lang w:val="en-US"/>
            </w:rPr>
            <w:fldChar w:fldCharType="end"/>
          </w:r>
        </w:p>
        <w:p>
          <w:pPr>
            <w:pStyle w:val="7"/>
            <w:tabs>
              <w:tab w:val="right" w:leader="dot" w:pos="8437"/>
            </w:tabs>
            <w:spacing w:before="66"/>
            <w:rPr>
              <w:rFonts w:ascii="Times New Roman" w:eastAsia="Times New Roman"/>
            </w:rPr>
          </w:pPr>
          <w:r>
            <w:fldChar w:fldCharType="begin"/>
          </w:r>
          <w:r>
            <w:instrText xml:space="preserve"> HYPERLINK \l "_bookmark3" </w:instrText>
          </w:r>
          <w:r>
            <w:fldChar w:fldCharType="separate"/>
          </w:r>
          <w:r>
            <w:t>二、</w:t>
          </w:r>
          <w:r>
            <w:rPr>
              <w:rFonts w:hint="eastAsia"/>
            </w:rPr>
            <w:t>国资委研究中心</w:t>
          </w:r>
          <w:r>
            <w:rPr>
              <w:spacing w:val="-82"/>
            </w:rPr>
            <w:t xml:space="preserve"> </w:t>
          </w:r>
          <w:r>
            <w:rPr>
              <w:rFonts w:ascii="Times New Roman" w:eastAsia="Times New Roman"/>
            </w:rPr>
            <w:t>202</w:t>
          </w:r>
          <w:r>
            <w:rPr>
              <w:rFonts w:hint="eastAsia" w:ascii="Times New Roman" w:eastAsia="宋体"/>
              <w:lang w:val="en-US" w:eastAsia="zh-CN"/>
            </w:rPr>
            <w:t>2</w:t>
          </w:r>
          <w:r>
            <w:rPr>
              <w:rFonts w:ascii="Times New Roman" w:eastAsia="Times New Roman"/>
            </w:rPr>
            <w:t xml:space="preserve"> </w:t>
          </w:r>
          <w:r>
            <w:t>年度部门决算表</w:t>
          </w:r>
          <w:r>
            <w:tab/>
          </w:r>
          <w:r>
            <w:rPr>
              <w:rFonts w:hint="eastAsia" w:ascii="Times New Roman" w:eastAsia="宋体"/>
              <w:lang w:val="en-US"/>
            </w:rPr>
            <w:t>2</w:t>
          </w:r>
          <w:r>
            <w:rPr>
              <w:rFonts w:hint="eastAsia" w:ascii="Times New Roman" w:eastAsia="宋体"/>
              <w:lang w:val="en-US"/>
            </w:rPr>
            <w:fldChar w:fldCharType="end"/>
          </w:r>
        </w:p>
        <w:p>
          <w:pPr>
            <w:pStyle w:val="8"/>
            <w:tabs>
              <w:tab w:val="right" w:leader="dot" w:pos="8452"/>
            </w:tabs>
            <w:spacing w:before="62"/>
            <w:rPr>
              <w:rFonts w:ascii="Times New Roman" w:eastAsia="Times New Roman"/>
            </w:rPr>
          </w:pPr>
          <w:r>
            <w:fldChar w:fldCharType="begin"/>
          </w:r>
          <w:r>
            <w:instrText xml:space="preserve"> HYPERLINK \l "_bookmark4" </w:instrText>
          </w:r>
          <w:r>
            <w:fldChar w:fldCharType="separate"/>
          </w:r>
          <w:r>
            <w:rPr>
              <w:spacing w:val="-39"/>
            </w:rPr>
            <w:t>收</w:t>
          </w:r>
          <w:r>
            <w:rPr>
              <w:spacing w:val="-41"/>
            </w:rPr>
            <w:t>入</w:t>
          </w:r>
          <w:r>
            <w:rPr>
              <w:spacing w:val="-39"/>
            </w:rPr>
            <w:t>支出</w:t>
          </w:r>
          <w:r>
            <w:rPr>
              <w:spacing w:val="-41"/>
            </w:rPr>
            <w:t>决</w:t>
          </w:r>
          <w:r>
            <w:rPr>
              <w:spacing w:val="-39"/>
            </w:rPr>
            <w:t>算总表</w:t>
          </w:r>
          <w:r>
            <w:rPr>
              <w:spacing w:val="-39"/>
            </w:rPr>
            <w:tab/>
          </w:r>
          <w:r>
            <w:rPr>
              <w:rFonts w:hint="eastAsia" w:ascii="Times New Roman" w:eastAsia="宋体"/>
              <w:lang w:val="en-US"/>
            </w:rPr>
            <w:t>2</w:t>
          </w:r>
          <w:r>
            <w:rPr>
              <w:rFonts w:hint="eastAsia" w:ascii="Times New Roman" w:eastAsia="宋体"/>
              <w:lang w:val="en-US"/>
            </w:rPr>
            <w:fldChar w:fldCharType="end"/>
          </w:r>
        </w:p>
        <w:p>
          <w:pPr>
            <w:pStyle w:val="8"/>
            <w:tabs>
              <w:tab w:val="right" w:leader="dot" w:pos="8452"/>
            </w:tabs>
            <w:rPr>
              <w:rFonts w:ascii="Times New Roman" w:eastAsia="Times New Roman"/>
            </w:rPr>
          </w:pPr>
          <w:r>
            <w:fldChar w:fldCharType="begin"/>
          </w:r>
          <w:r>
            <w:instrText xml:space="preserve"> HYPERLINK \l "_bookmark5" </w:instrText>
          </w:r>
          <w:r>
            <w:fldChar w:fldCharType="separate"/>
          </w:r>
          <w:r>
            <w:rPr>
              <w:spacing w:val="-39"/>
            </w:rPr>
            <w:t>收</w:t>
          </w:r>
          <w:r>
            <w:rPr>
              <w:spacing w:val="-41"/>
            </w:rPr>
            <w:t>入</w:t>
          </w:r>
          <w:r>
            <w:rPr>
              <w:spacing w:val="-39"/>
            </w:rPr>
            <w:t>决算表</w:t>
          </w:r>
          <w:r>
            <w:rPr>
              <w:spacing w:val="-39"/>
            </w:rPr>
            <w:tab/>
          </w:r>
          <w:r>
            <w:rPr>
              <w:rFonts w:hint="eastAsia" w:ascii="Times New Roman" w:eastAsia="宋体"/>
              <w:lang w:val="en-US"/>
            </w:rPr>
            <w:t>4</w:t>
          </w:r>
          <w:r>
            <w:rPr>
              <w:rFonts w:hint="eastAsia" w:ascii="Times New Roman" w:eastAsia="宋体"/>
              <w:lang w:val="en-US"/>
            </w:rPr>
            <w:fldChar w:fldCharType="end"/>
          </w:r>
        </w:p>
        <w:p>
          <w:pPr>
            <w:pStyle w:val="8"/>
            <w:tabs>
              <w:tab w:val="right" w:leader="dot" w:pos="8457"/>
            </w:tabs>
            <w:rPr>
              <w:rFonts w:ascii="Times New Roman" w:eastAsia="Times New Roman"/>
            </w:rPr>
          </w:pPr>
          <w:r>
            <w:fldChar w:fldCharType="begin"/>
          </w:r>
          <w:r>
            <w:instrText xml:space="preserve"> HYPERLINK \l "_bookmark6" </w:instrText>
          </w:r>
          <w:r>
            <w:fldChar w:fldCharType="separate"/>
          </w:r>
          <w:r>
            <w:rPr>
              <w:spacing w:val="-39"/>
            </w:rPr>
            <w:t>支</w:t>
          </w:r>
          <w:r>
            <w:rPr>
              <w:spacing w:val="-41"/>
            </w:rPr>
            <w:t>出</w:t>
          </w:r>
          <w:r>
            <w:rPr>
              <w:spacing w:val="-39"/>
            </w:rPr>
            <w:t>决算表</w:t>
          </w:r>
          <w:r>
            <w:rPr>
              <w:spacing w:val="-39"/>
            </w:rPr>
            <w:tab/>
          </w:r>
          <w:r>
            <w:rPr>
              <w:rFonts w:hint="eastAsia" w:ascii="Times New Roman" w:eastAsia="宋体"/>
              <w:spacing w:val="-8"/>
              <w:lang w:val="en-US"/>
            </w:rPr>
            <w:t>5</w:t>
          </w:r>
          <w:r>
            <w:rPr>
              <w:rFonts w:hint="eastAsia" w:ascii="Times New Roman" w:eastAsia="宋体"/>
              <w:spacing w:val="-8"/>
              <w:lang w:val="en-US"/>
            </w:rPr>
            <w:fldChar w:fldCharType="end"/>
          </w:r>
        </w:p>
        <w:p>
          <w:pPr>
            <w:pStyle w:val="8"/>
            <w:tabs>
              <w:tab w:val="right" w:leader="dot" w:pos="8457"/>
            </w:tabs>
            <w:spacing w:before="65"/>
            <w:rPr>
              <w:rFonts w:ascii="Times New Roman" w:eastAsia="Times New Roman"/>
            </w:rPr>
          </w:pPr>
          <w:r>
            <w:fldChar w:fldCharType="begin"/>
          </w:r>
          <w:r>
            <w:instrText xml:space="preserve"> HYPERLINK \l "_bookmark7" </w:instrText>
          </w:r>
          <w:r>
            <w:fldChar w:fldCharType="separate"/>
          </w:r>
          <w:r>
            <w:rPr>
              <w:spacing w:val="-39"/>
            </w:rPr>
            <w:t>财</w:t>
          </w:r>
          <w:r>
            <w:rPr>
              <w:spacing w:val="-41"/>
            </w:rPr>
            <w:t>政</w:t>
          </w:r>
          <w:r>
            <w:rPr>
              <w:spacing w:val="-39"/>
            </w:rPr>
            <w:t>拨款</w:t>
          </w:r>
          <w:r>
            <w:rPr>
              <w:spacing w:val="-41"/>
            </w:rPr>
            <w:t>收</w:t>
          </w:r>
          <w:r>
            <w:rPr>
              <w:spacing w:val="-39"/>
            </w:rPr>
            <w:t>入支</w:t>
          </w:r>
          <w:r>
            <w:rPr>
              <w:spacing w:val="-41"/>
            </w:rPr>
            <w:t>出</w:t>
          </w:r>
          <w:r>
            <w:rPr>
              <w:spacing w:val="-39"/>
            </w:rPr>
            <w:t>决算</w:t>
          </w:r>
          <w:r>
            <w:rPr>
              <w:spacing w:val="-41"/>
            </w:rPr>
            <w:t>总</w:t>
          </w:r>
          <w:r>
            <w:rPr>
              <w:spacing w:val="-39"/>
            </w:rPr>
            <w:t>表</w:t>
          </w:r>
          <w:r>
            <w:rPr>
              <w:spacing w:val="-39"/>
            </w:rPr>
            <w:tab/>
          </w:r>
          <w:r>
            <w:rPr>
              <w:rFonts w:hint="eastAsia" w:ascii="Times New Roman" w:eastAsia="宋体"/>
              <w:spacing w:val="-8"/>
              <w:lang w:val="en-US"/>
            </w:rPr>
            <w:t>6</w:t>
          </w:r>
          <w:r>
            <w:rPr>
              <w:rFonts w:hint="eastAsia" w:ascii="Times New Roman" w:eastAsia="宋体"/>
              <w:spacing w:val="-8"/>
              <w:lang w:val="en-US"/>
            </w:rPr>
            <w:fldChar w:fldCharType="end"/>
          </w:r>
        </w:p>
        <w:p>
          <w:pPr>
            <w:pStyle w:val="8"/>
            <w:tabs>
              <w:tab w:val="right" w:leader="dot" w:pos="8457"/>
            </w:tabs>
            <w:rPr>
              <w:rFonts w:ascii="Times New Roman" w:eastAsia="Times New Roman"/>
            </w:rPr>
          </w:pPr>
          <w:r>
            <w:fldChar w:fldCharType="begin"/>
          </w:r>
          <w:r>
            <w:instrText xml:space="preserve"> HYPERLINK \l "_bookmark8" </w:instrText>
          </w:r>
          <w:r>
            <w:fldChar w:fldCharType="separate"/>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支</w:t>
          </w:r>
          <w:r>
            <w:rPr>
              <w:spacing w:val="-39"/>
            </w:rPr>
            <w:t>出决</w:t>
          </w:r>
          <w:r>
            <w:rPr>
              <w:spacing w:val="-41"/>
            </w:rPr>
            <w:t>算</w:t>
          </w:r>
          <w:r>
            <w:rPr>
              <w:spacing w:val="-39"/>
            </w:rPr>
            <w:t>表</w:t>
          </w:r>
          <w:r>
            <w:rPr>
              <w:spacing w:val="-39"/>
            </w:rPr>
            <w:tab/>
          </w:r>
          <w:r>
            <w:rPr>
              <w:rFonts w:hint="eastAsia" w:ascii="Times New Roman" w:eastAsia="宋体"/>
              <w:spacing w:val="-8"/>
              <w:lang w:val="en-US"/>
            </w:rPr>
            <w:t>8</w:t>
          </w:r>
          <w:r>
            <w:rPr>
              <w:rFonts w:hint="eastAsia" w:ascii="Times New Roman" w:eastAsia="宋体"/>
              <w:spacing w:val="-8"/>
              <w:lang w:val="en-US"/>
            </w:rPr>
            <w:fldChar w:fldCharType="end"/>
          </w:r>
        </w:p>
        <w:p>
          <w:pPr>
            <w:pStyle w:val="8"/>
            <w:tabs>
              <w:tab w:val="right" w:leader="dot" w:pos="8457"/>
            </w:tabs>
            <w:rPr>
              <w:rFonts w:ascii="Times New Roman" w:eastAsia="Times New Roman"/>
            </w:rPr>
          </w:pPr>
          <w:r>
            <w:fldChar w:fldCharType="begin"/>
          </w:r>
          <w:r>
            <w:instrText xml:space="preserve"> HYPERLINK \l "_bookmark9" </w:instrText>
          </w:r>
          <w:r>
            <w:fldChar w:fldCharType="separate"/>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基</w:t>
          </w:r>
          <w:r>
            <w:rPr>
              <w:spacing w:val="-39"/>
            </w:rPr>
            <w:t>本支</w:t>
          </w:r>
          <w:r>
            <w:rPr>
              <w:spacing w:val="-41"/>
            </w:rPr>
            <w:t>出</w:t>
          </w:r>
          <w:r>
            <w:rPr>
              <w:spacing w:val="-39"/>
            </w:rPr>
            <w:t>决算表</w:t>
          </w:r>
          <w:r>
            <w:rPr>
              <w:spacing w:val="-39"/>
            </w:rPr>
            <w:tab/>
          </w:r>
          <w:r>
            <w:rPr>
              <w:rFonts w:hint="eastAsia" w:ascii="Times New Roman" w:eastAsia="宋体"/>
              <w:spacing w:val="-8"/>
              <w:lang w:val="en-US"/>
            </w:rPr>
            <w:t>9</w:t>
          </w:r>
          <w:r>
            <w:rPr>
              <w:rFonts w:hint="eastAsia" w:ascii="Times New Roman" w:eastAsia="宋体"/>
              <w:spacing w:val="-8"/>
              <w:lang w:val="en-US"/>
            </w:rPr>
            <w:fldChar w:fldCharType="end"/>
          </w:r>
        </w:p>
        <w:p>
          <w:pPr>
            <w:pStyle w:val="8"/>
            <w:tabs>
              <w:tab w:val="right" w:leader="dot" w:pos="8457"/>
            </w:tabs>
            <w:spacing w:before="65"/>
            <w:rPr>
              <w:rFonts w:ascii="Times New Roman" w:hAnsi="Times New Roman" w:eastAsia="宋体"/>
              <w:lang w:val="en-US"/>
            </w:rPr>
          </w:pPr>
          <w:r>
            <w:fldChar w:fldCharType="begin"/>
          </w:r>
          <w:r>
            <w:instrText xml:space="preserve"> HYPERLINK \l "_bookmark10" </w:instrText>
          </w:r>
          <w:r>
            <w:fldChar w:fldCharType="separate"/>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拨款“三</w:t>
          </w:r>
          <w:r>
            <w:rPr>
              <w:spacing w:val="-41"/>
            </w:rPr>
            <w:t>公</w:t>
          </w:r>
          <w:r>
            <w:rPr>
              <w:spacing w:val="-39"/>
            </w:rPr>
            <w:t>”经</w:t>
          </w:r>
          <w:r>
            <w:rPr>
              <w:spacing w:val="-41"/>
            </w:rPr>
            <w:t>费</w:t>
          </w:r>
          <w:r>
            <w:rPr>
              <w:spacing w:val="-39"/>
            </w:rPr>
            <w:t>支出</w:t>
          </w:r>
          <w:r>
            <w:rPr>
              <w:spacing w:val="-41"/>
            </w:rPr>
            <w:t>决</w:t>
          </w:r>
          <w:r>
            <w:rPr>
              <w:spacing w:val="-39"/>
            </w:rPr>
            <w:t>算</w:t>
          </w:r>
          <w:r>
            <w:rPr>
              <w:spacing w:val="-41"/>
            </w:rPr>
            <w:t>表</w:t>
          </w:r>
          <w:r>
            <w:rPr>
              <w:spacing w:val="-41"/>
            </w:rPr>
            <w:tab/>
          </w:r>
          <w:r>
            <w:rPr>
              <w:rFonts w:hint="eastAsia" w:ascii="Times New Roman" w:hAnsi="Times New Roman" w:eastAsia="宋体"/>
              <w:spacing w:val="-8"/>
              <w:lang w:val="en-US"/>
            </w:rPr>
            <w:t>1</w:t>
          </w:r>
          <w:r>
            <w:rPr>
              <w:rFonts w:hint="eastAsia" w:ascii="Times New Roman" w:hAnsi="Times New Roman" w:eastAsia="宋体"/>
              <w:spacing w:val="-8"/>
              <w:lang w:val="en-US"/>
            </w:rPr>
            <w:fldChar w:fldCharType="end"/>
          </w:r>
          <w:r>
            <w:rPr>
              <w:rFonts w:hint="eastAsia" w:ascii="Times New Roman" w:hAnsi="Times New Roman" w:eastAsia="宋体"/>
              <w:spacing w:val="-8"/>
              <w:lang w:val="en-US"/>
            </w:rPr>
            <w:t>1</w:t>
          </w:r>
        </w:p>
        <w:p>
          <w:pPr>
            <w:pStyle w:val="8"/>
            <w:tabs>
              <w:tab w:val="right" w:leader="dot" w:pos="8457"/>
            </w:tabs>
            <w:rPr>
              <w:rFonts w:ascii="Times New Roman" w:eastAsia="宋体"/>
              <w:lang w:val="en-US"/>
            </w:rPr>
          </w:pPr>
          <w:r>
            <w:fldChar w:fldCharType="begin"/>
          </w:r>
          <w:r>
            <w:instrText xml:space="preserve"> HYPERLINK \l "_bookmark11" </w:instrText>
          </w:r>
          <w:r>
            <w:fldChar w:fldCharType="separate"/>
          </w:r>
          <w:r>
            <w:rPr>
              <w:spacing w:val="-39"/>
            </w:rPr>
            <w:t>政</w:t>
          </w:r>
          <w:r>
            <w:rPr>
              <w:spacing w:val="-41"/>
            </w:rPr>
            <w:t>府</w:t>
          </w:r>
          <w:r>
            <w:rPr>
              <w:spacing w:val="-39"/>
            </w:rPr>
            <w:t>性基</w:t>
          </w:r>
          <w:r>
            <w:rPr>
              <w:spacing w:val="-41"/>
            </w:rPr>
            <w:t>金</w:t>
          </w:r>
          <w:r>
            <w:rPr>
              <w:spacing w:val="-39"/>
            </w:rPr>
            <w:t>预算</w:t>
          </w:r>
          <w:r>
            <w:rPr>
              <w:spacing w:val="-41"/>
            </w:rPr>
            <w:t>财</w:t>
          </w:r>
          <w:r>
            <w:rPr>
              <w:spacing w:val="-39"/>
            </w:rPr>
            <w:t>政拨</w:t>
          </w:r>
          <w:r>
            <w:rPr>
              <w:spacing w:val="-41"/>
            </w:rPr>
            <w:t>款</w:t>
          </w:r>
          <w:r>
            <w:rPr>
              <w:spacing w:val="-39"/>
            </w:rPr>
            <w:t>收入</w:t>
          </w:r>
          <w:r>
            <w:rPr>
              <w:spacing w:val="-41"/>
            </w:rPr>
            <w:t>支</w:t>
          </w:r>
          <w:r>
            <w:rPr>
              <w:spacing w:val="-39"/>
            </w:rPr>
            <w:t>出决</w:t>
          </w:r>
          <w:r>
            <w:rPr>
              <w:spacing w:val="-41"/>
            </w:rPr>
            <w:t>算</w:t>
          </w:r>
          <w:r>
            <w:rPr>
              <w:spacing w:val="-39"/>
            </w:rPr>
            <w:t>表</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2</w:t>
          </w:r>
        </w:p>
        <w:p>
          <w:pPr>
            <w:pStyle w:val="8"/>
            <w:tabs>
              <w:tab w:val="right" w:leader="dot" w:pos="8457"/>
            </w:tabs>
            <w:rPr>
              <w:rFonts w:ascii="Times New Roman" w:eastAsia="宋体"/>
              <w:lang w:val="en-US"/>
            </w:rPr>
          </w:pPr>
          <w:r>
            <w:fldChar w:fldCharType="begin"/>
          </w:r>
          <w:r>
            <w:instrText xml:space="preserve"> HYPERLINK \l "_bookmark12" </w:instrText>
          </w:r>
          <w:r>
            <w:fldChar w:fldCharType="separate"/>
          </w:r>
          <w:r>
            <w:rPr>
              <w:spacing w:val="-39"/>
            </w:rPr>
            <w:t>国</w:t>
          </w:r>
          <w:r>
            <w:rPr>
              <w:spacing w:val="-41"/>
            </w:rPr>
            <w:t>有</w:t>
          </w:r>
          <w:r>
            <w:rPr>
              <w:spacing w:val="-39"/>
            </w:rPr>
            <w:t>资本</w:t>
          </w:r>
          <w:r>
            <w:rPr>
              <w:spacing w:val="-41"/>
            </w:rPr>
            <w:t>经</w:t>
          </w:r>
          <w:r>
            <w:rPr>
              <w:spacing w:val="-39"/>
            </w:rPr>
            <w:t>营预</w:t>
          </w:r>
          <w:r>
            <w:rPr>
              <w:spacing w:val="-41"/>
            </w:rPr>
            <w:t>算</w:t>
          </w:r>
          <w:r>
            <w:rPr>
              <w:spacing w:val="-39"/>
            </w:rPr>
            <w:t>财政</w:t>
          </w:r>
          <w:r>
            <w:rPr>
              <w:spacing w:val="-41"/>
            </w:rPr>
            <w:t>拨</w:t>
          </w:r>
          <w:r>
            <w:rPr>
              <w:spacing w:val="-39"/>
            </w:rPr>
            <w:t>款支</w:t>
          </w:r>
          <w:r>
            <w:rPr>
              <w:spacing w:val="-41"/>
            </w:rPr>
            <w:t>出</w:t>
          </w:r>
          <w:r>
            <w:rPr>
              <w:spacing w:val="-39"/>
            </w:rPr>
            <w:t>决算表</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3</w:t>
          </w:r>
        </w:p>
        <w:p>
          <w:pPr>
            <w:pStyle w:val="7"/>
            <w:tabs>
              <w:tab w:val="right" w:leader="dot" w:pos="8440"/>
            </w:tabs>
            <w:spacing w:before="65"/>
            <w:rPr>
              <w:rFonts w:ascii="Times New Roman" w:eastAsia="宋体"/>
              <w:lang w:val="en-US"/>
            </w:rPr>
          </w:pPr>
          <w:r>
            <w:fldChar w:fldCharType="begin"/>
          </w:r>
          <w:r>
            <w:instrText xml:space="preserve"> HYPERLINK \l "_bookmark13" </w:instrText>
          </w:r>
          <w:r>
            <w:fldChar w:fldCharType="separate"/>
          </w:r>
          <w:r>
            <w:t>三、</w:t>
          </w:r>
          <w:r>
            <w:rPr>
              <w:rFonts w:hint="eastAsia"/>
            </w:rPr>
            <w:t>国资委研究中心</w:t>
          </w:r>
          <w:r>
            <w:rPr>
              <w:spacing w:val="-82"/>
            </w:rPr>
            <w:t xml:space="preserve"> </w:t>
          </w:r>
          <w:r>
            <w:rPr>
              <w:rFonts w:ascii="Times New Roman" w:eastAsia="Times New Roman"/>
            </w:rPr>
            <w:t>202</w:t>
          </w:r>
          <w:r>
            <w:rPr>
              <w:rFonts w:hint="eastAsia" w:ascii="Times New Roman" w:eastAsia="宋体"/>
              <w:lang w:val="en-US" w:eastAsia="zh-CN"/>
            </w:rPr>
            <w:t>2</w:t>
          </w:r>
          <w:r>
            <w:rPr>
              <w:rFonts w:ascii="Times New Roman" w:eastAsia="Times New Roman"/>
            </w:rPr>
            <w:t xml:space="preserve"> </w:t>
          </w:r>
          <w:r>
            <w:t>年度部门决算说明</w:t>
          </w:r>
          <w:r>
            <w:tab/>
          </w:r>
          <w:r>
            <w:rPr>
              <w:rFonts w:hint="eastAsia" w:ascii="Times New Roman" w:eastAsia="宋体"/>
              <w:lang w:val="en-US"/>
            </w:rPr>
            <w:t>1</w:t>
          </w:r>
          <w:r>
            <w:rPr>
              <w:rFonts w:hint="eastAsia" w:ascii="Times New Roman" w:eastAsia="宋体"/>
              <w:lang w:val="en-US"/>
            </w:rPr>
            <w:fldChar w:fldCharType="end"/>
          </w:r>
          <w:r>
            <w:rPr>
              <w:rFonts w:hint="eastAsia" w:ascii="Times New Roman" w:eastAsia="宋体"/>
              <w:lang w:val="en-US"/>
            </w:rPr>
            <w:t>4</w:t>
          </w:r>
        </w:p>
        <w:p>
          <w:pPr>
            <w:pStyle w:val="8"/>
            <w:tabs>
              <w:tab w:val="right" w:leader="dot" w:pos="8457"/>
            </w:tabs>
            <w:rPr>
              <w:rFonts w:ascii="Times New Roman" w:eastAsia="宋体"/>
              <w:lang w:val="en-US"/>
            </w:rPr>
          </w:pPr>
          <w:r>
            <w:fldChar w:fldCharType="begin"/>
          </w:r>
          <w:r>
            <w:instrText xml:space="preserve"> HYPERLINK \l "_bookmark14" </w:instrText>
          </w:r>
          <w:r>
            <w:fldChar w:fldCharType="separate"/>
          </w:r>
          <w:r>
            <w:rPr>
              <w:spacing w:val="-39"/>
            </w:rPr>
            <w:t>（</w:t>
          </w:r>
          <w:r>
            <w:rPr>
              <w:spacing w:val="-41"/>
            </w:rPr>
            <w:t>一</w:t>
          </w:r>
          <w:r>
            <w:rPr>
              <w:spacing w:val="-39"/>
            </w:rPr>
            <w:t>）收</w:t>
          </w:r>
          <w:r>
            <w:rPr>
              <w:spacing w:val="-41"/>
            </w:rPr>
            <w:t>支</w:t>
          </w:r>
          <w:r>
            <w:rPr>
              <w:spacing w:val="-39"/>
            </w:rPr>
            <w:t>总体</w:t>
          </w:r>
          <w:r>
            <w:rPr>
              <w:spacing w:val="-41"/>
            </w:rPr>
            <w:t>情</w:t>
          </w:r>
          <w:r>
            <w:rPr>
              <w:spacing w:val="-39"/>
            </w:rPr>
            <w:t>况说明</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4</w:t>
          </w:r>
        </w:p>
        <w:p>
          <w:pPr>
            <w:pStyle w:val="8"/>
            <w:tabs>
              <w:tab w:val="right" w:leader="dot" w:pos="8457"/>
            </w:tabs>
            <w:spacing w:before="62"/>
            <w:rPr>
              <w:rFonts w:ascii="Times New Roman" w:eastAsia="宋体"/>
              <w:lang w:val="en-US"/>
            </w:rPr>
          </w:pPr>
          <w:r>
            <w:fldChar w:fldCharType="begin"/>
          </w:r>
          <w:r>
            <w:instrText xml:space="preserve"> HYPERLINK \l "_bookmark15" </w:instrText>
          </w:r>
          <w:r>
            <w:fldChar w:fldCharType="separate"/>
          </w:r>
          <w:r>
            <w:rPr>
              <w:spacing w:val="-39"/>
            </w:rPr>
            <w:t>（</w:t>
          </w:r>
          <w:r>
            <w:rPr>
              <w:spacing w:val="-41"/>
            </w:rPr>
            <w:t>二</w:t>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支</w:t>
          </w:r>
          <w:r>
            <w:rPr>
              <w:spacing w:val="-39"/>
            </w:rPr>
            <w:t>出情</w:t>
          </w:r>
          <w:r>
            <w:rPr>
              <w:spacing w:val="-41"/>
            </w:rPr>
            <w:t>况</w:t>
          </w:r>
          <w:r>
            <w:rPr>
              <w:spacing w:val="-39"/>
            </w:rPr>
            <w:t>说明</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eastAsia="宋体"/>
              <w:spacing w:val="-8"/>
              <w:lang w:val="en-US"/>
            </w:rPr>
            <w:t>7</w:t>
          </w:r>
        </w:p>
        <w:p>
          <w:pPr>
            <w:pStyle w:val="8"/>
            <w:tabs>
              <w:tab w:val="right" w:leader="dot" w:pos="8457"/>
            </w:tabs>
            <w:rPr>
              <w:rFonts w:ascii="Times New Roman" w:hAnsi="Times New Roman" w:eastAsia="宋体"/>
              <w:lang w:val="en-US"/>
            </w:rPr>
          </w:pPr>
          <w:r>
            <w:fldChar w:fldCharType="begin"/>
          </w:r>
          <w:r>
            <w:instrText xml:space="preserve"> HYPERLINK \l "_bookmark16" </w:instrText>
          </w:r>
          <w:r>
            <w:fldChar w:fldCharType="separate"/>
          </w:r>
          <w:r>
            <w:rPr>
              <w:spacing w:val="-15"/>
            </w:rPr>
            <w:t>（</w:t>
          </w:r>
          <w:r>
            <w:rPr>
              <w:spacing w:val="-17"/>
            </w:rPr>
            <w:t>三</w:t>
          </w:r>
          <w:r>
            <w:rPr>
              <w:spacing w:val="-15"/>
            </w:rPr>
            <w:t>）</w:t>
          </w:r>
          <w:r>
            <w:rPr>
              <w:spacing w:val="-39"/>
            </w:rPr>
            <w:t>一</w:t>
          </w:r>
          <w:r>
            <w:rPr>
              <w:spacing w:val="-41"/>
            </w:rPr>
            <w:t>般</w:t>
          </w:r>
          <w:r>
            <w:rPr>
              <w:spacing w:val="-39"/>
            </w:rPr>
            <w:t>公共</w:t>
          </w:r>
          <w:r>
            <w:rPr>
              <w:spacing w:val="-41"/>
            </w:rPr>
            <w:t>预</w:t>
          </w:r>
          <w:r>
            <w:rPr>
              <w:spacing w:val="-39"/>
            </w:rPr>
            <w:t>算财</w:t>
          </w:r>
          <w:r>
            <w:rPr>
              <w:spacing w:val="-41"/>
            </w:rPr>
            <w:t>政</w:t>
          </w:r>
          <w:r>
            <w:rPr>
              <w:spacing w:val="-39"/>
            </w:rPr>
            <w:t>拨款</w:t>
          </w:r>
          <w:r>
            <w:rPr>
              <w:spacing w:val="-41"/>
            </w:rPr>
            <w:t>基</w:t>
          </w:r>
          <w:r>
            <w:rPr>
              <w:spacing w:val="-39"/>
            </w:rPr>
            <w:t>本支</w:t>
          </w:r>
          <w:r>
            <w:rPr>
              <w:spacing w:val="-41"/>
            </w:rPr>
            <w:t>出</w:t>
          </w:r>
          <w:r>
            <w:rPr>
              <w:spacing w:val="-39"/>
            </w:rPr>
            <w:t>情况</w:t>
          </w:r>
          <w:r>
            <w:rPr>
              <w:spacing w:val="-41"/>
            </w:rPr>
            <w:t>说</w:t>
          </w:r>
          <w:r>
            <w:rPr>
              <w:spacing w:val="-39"/>
            </w:rPr>
            <w:t>明</w:t>
          </w:r>
          <w:r>
            <w:rPr>
              <w:spacing w:val="-39"/>
            </w:rPr>
            <w:tab/>
          </w:r>
          <w:r>
            <w:rPr>
              <w:rFonts w:hint="eastAsia" w:ascii="Times New Roman" w:eastAsia="宋体"/>
              <w:spacing w:val="-8"/>
              <w:lang w:val="en-US"/>
            </w:rPr>
            <w:t>1</w:t>
          </w:r>
          <w:r>
            <w:rPr>
              <w:rFonts w:hint="eastAsia" w:ascii="Times New Roman" w:eastAsia="宋体"/>
              <w:spacing w:val="-8"/>
              <w:lang w:val="en-US"/>
            </w:rPr>
            <w:fldChar w:fldCharType="end"/>
          </w:r>
          <w:r>
            <w:rPr>
              <w:rFonts w:hint="eastAsia" w:ascii="Times New Roman" w:hAnsi="Times New Roman" w:eastAsia="宋体"/>
              <w:spacing w:val="-8"/>
              <w:lang w:val="en-US"/>
            </w:rPr>
            <w:t>9</w:t>
          </w:r>
        </w:p>
        <w:p>
          <w:pPr>
            <w:pStyle w:val="8"/>
            <w:tabs>
              <w:tab w:val="right" w:leader="dot" w:pos="8457"/>
            </w:tabs>
            <w:spacing w:before="65"/>
            <w:rPr>
              <w:spacing w:val="-39"/>
              <w:lang w:val="en-US"/>
            </w:rPr>
          </w:pPr>
          <w:r>
            <w:fldChar w:fldCharType="begin"/>
          </w:r>
          <w:r>
            <w:instrText xml:space="preserve"> HYPERLINK \l "_bookmark17" </w:instrText>
          </w:r>
          <w:r>
            <w:fldChar w:fldCharType="separate"/>
          </w:r>
          <w:r>
            <w:rPr>
              <w:spacing w:val="-39"/>
            </w:rPr>
            <w:t>（</w:t>
          </w:r>
          <w:r>
            <w:rPr>
              <w:spacing w:val="-41"/>
            </w:rPr>
            <w:t>四</w:t>
          </w:r>
          <w:r>
            <w:rPr>
              <w:spacing w:val="-39"/>
            </w:rPr>
            <w:t>）</w:t>
          </w:r>
          <w:r>
            <w:rPr>
              <w:spacing w:val="-15"/>
            </w:rPr>
            <w:t>一</w:t>
          </w:r>
          <w:r>
            <w:rPr>
              <w:spacing w:val="-17"/>
            </w:rPr>
            <w:t>般</w:t>
          </w:r>
          <w:r>
            <w:rPr>
              <w:spacing w:val="-15"/>
            </w:rPr>
            <w:t>公共</w:t>
          </w:r>
          <w:r>
            <w:rPr>
              <w:spacing w:val="-17"/>
            </w:rPr>
            <w:t>预</w:t>
          </w:r>
          <w:r>
            <w:rPr>
              <w:spacing w:val="-15"/>
            </w:rPr>
            <w:t>算财</w:t>
          </w:r>
          <w:r>
            <w:rPr>
              <w:spacing w:val="-17"/>
            </w:rPr>
            <w:t>政</w:t>
          </w:r>
          <w:r>
            <w:rPr>
              <w:spacing w:val="-15"/>
            </w:rPr>
            <w:t>拨款“三</w:t>
          </w:r>
          <w:r>
            <w:rPr>
              <w:spacing w:val="-17"/>
            </w:rPr>
            <w:t>公</w:t>
          </w:r>
          <w:r>
            <w:rPr>
              <w:spacing w:val="-15"/>
            </w:rPr>
            <w:t>”经</w:t>
          </w:r>
          <w:r>
            <w:rPr>
              <w:spacing w:val="-17"/>
            </w:rPr>
            <w:t>费</w:t>
          </w:r>
          <w:r>
            <w:rPr>
              <w:spacing w:val="-15"/>
            </w:rPr>
            <w:t>支出</w:t>
          </w:r>
          <w:r>
            <w:rPr>
              <w:spacing w:val="-17"/>
              <w:highlight w:val="none"/>
            </w:rPr>
            <w:t>情</w:t>
          </w:r>
          <w:r>
            <w:rPr>
              <w:rFonts w:hint="eastAsia"/>
              <w:spacing w:val="-17"/>
              <w:highlight w:val="none"/>
              <w:lang w:eastAsia="zh-CN"/>
            </w:rPr>
            <w:t>况</w:t>
          </w:r>
          <w:r>
            <w:rPr>
              <w:spacing w:val="-15"/>
              <w:highlight w:val="none"/>
            </w:rPr>
            <w:t>说</w:t>
          </w:r>
          <w:r>
            <w:rPr>
              <w:highlight w:val="none"/>
            </w:rPr>
            <w:t>明</w:t>
          </w:r>
          <w:r>
            <w:tab/>
          </w:r>
          <w:r>
            <w:rPr>
              <w:rFonts w:hint="eastAsia" w:ascii="Times New Roman" w:hAnsi="Times New Roman" w:eastAsia="宋体"/>
              <w:spacing w:val="-8"/>
              <w:lang w:val="en-US"/>
            </w:rPr>
            <w:t>19</w:t>
          </w:r>
        </w:p>
        <w:p>
          <w:pPr>
            <w:pStyle w:val="8"/>
            <w:tabs>
              <w:tab w:val="right" w:leader="dot" w:pos="8457"/>
            </w:tabs>
            <w:spacing w:before="65"/>
            <w:ind w:left="0"/>
            <w:rPr>
              <w:rFonts w:ascii="Times New Roman" w:eastAsia="宋体"/>
              <w:lang w:val="en-US"/>
            </w:rPr>
          </w:pPr>
          <w:r>
            <w:rPr>
              <w:rFonts w:ascii="Times New Roman" w:eastAsia="Times New Roman"/>
              <w:spacing w:val="-8"/>
            </w:rPr>
            <w:fldChar w:fldCharType="end"/>
          </w:r>
          <w:r>
            <w:rPr>
              <w:rFonts w:hint="eastAsia" w:ascii="Times New Roman" w:eastAsia="宋体"/>
              <w:spacing w:val="-8"/>
              <w:lang w:val="en-US"/>
            </w:rPr>
            <w:t xml:space="preserve">     </w:t>
          </w:r>
          <w:r>
            <w:fldChar w:fldCharType="begin"/>
          </w:r>
          <w:r>
            <w:instrText xml:space="preserve"> HYPERLINK \l "_bookmark20" </w:instrText>
          </w:r>
          <w:r>
            <w:fldChar w:fldCharType="separate"/>
          </w:r>
          <w:r>
            <w:rPr>
              <w:spacing w:val="-39"/>
            </w:rPr>
            <w:t>（</w:t>
          </w:r>
          <w:r>
            <w:rPr>
              <w:rFonts w:hint="eastAsia"/>
              <w:spacing w:val="-39"/>
            </w:rPr>
            <w:t>五</w:t>
          </w:r>
          <w:r>
            <w:rPr>
              <w:spacing w:val="-39"/>
            </w:rPr>
            <w:t>）其</w:t>
          </w:r>
          <w:r>
            <w:rPr>
              <w:spacing w:val="-41"/>
            </w:rPr>
            <w:t>他</w:t>
          </w:r>
          <w:r>
            <w:rPr>
              <w:spacing w:val="-39"/>
            </w:rPr>
            <w:t>重要</w:t>
          </w:r>
          <w:r>
            <w:rPr>
              <w:spacing w:val="-41"/>
            </w:rPr>
            <w:t>事</w:t>
          </w:r>
          <w:r>
            <w:rPr>
              <w:spacing w:val="-39"/>
            </w:rPr>
            <w:t>项的</w:t>
          </w:r>
          <w:r>
            <w:rPr>
              <w:spacing w:val="-41"/>
            </w:rPr>
            <w:t>情</w:t>
          </w:r>
          <w:r>
            <w:rPr>
              <w:spacing w:val="-39"/>
            </w:rPr>
            <w:t>况说明</w:t>
          </w:r>
          <w:r>
            <w:rPr>
              <w:spacing w:val="-39"/>
            </w:rPr>
            <w:tab/>
          </w:r>
          <w:r>
            <w:rPr>
              <w:rFonts w:hint="eastAsia" w:ascii="Times New Roman" w:eastAsia="宋体"/>
              <w:spacing w:val="-8"/>
              <w:lang w:val="en-US"/>
            </w:rPr>
            <w:t>2</w:t>
          </w:r>
          <w:r>
            <w:rPr>
              <w:rFonts w:hint="eastAsia" w:ascii="Times New Roman" w:eastAsia="宋体"/>
              <w:spacing w:val="-8"/>
              <w:lang w:val="en-US"/>
            </w:rPr>
            <w:fldChar w:fldCharType="end"/>
          </w:r>
          <w:r>
            <w:rPr>
              <w:rFonts w:hint="eastAsia" w:ascii="Times New Roman" w:eastAsia="宋体"/>
              <w:spacing w:val="-8"/>
              <w:lang w:val="en-US"/>
            </w:rPr>
            <w:t>0</w:t>
          </w:r>
        </w:p>
        <w:p>
          <w:pPr>
            <w:pStyle w:val="8"/>
            <w:tabs>
              <w:tab w:val="right" w:leader="dot" w:pos="8457"/>
            </w:tabs>
            <w:spacing w:before="65"/>
            <w:rPr>
              <w:rFonts w:hint="default" w:ascii="Times New Roman" w:eastAsia="宋体"/>
              <w:lang w:val="en-US" w:eastAsia="zh-CN"/>
            </w:rPr>
          </w:pPr>
          <w:r>
            <w:fldChar w:fldCharType="begin"/>
          </w:r>
          <w:r>
            <w:instrText xml:space="preserve"> HYPERLINK \l "_bookmark21" </w:instrText>
          </w:r>
          <w:r>
            <w:fldChar w:fldCharType="separate"/>
          </w:r>
          <w:r>
            <w:rPr>
              <w:spacing w:val="-39"/>
            </w:rPr>
            <w:t>（</w:t>
          </w:r>
          <w:r>
            <w:rPr>
              <w:rFonts w:hint="eastAsia"/>
              <w:spacing w:val="-39"/>
            </w:rPr>
            <w:t>六</w:t>
          </w:r>
          <w:r>
            <w:rPr>
              <w:spacing w:val="-39"/>
            </w:rPr>
            <w:t>）关</w:t>
          </w:r>
          <w:r>
            <w:rPr>
              <w:spacing w:val="-41"/>
            </w:rPr>
            <w:t>于</w:t>
          </w:r>
          <w:r>
            <w:rPr>
              <w:spacing w:val="-39"/>
            </w:rPr>
            <w:t>预算</w:t>
          </w:r>
          <w:r>
            <w:rPr>
              <w:spacing w:val="-41"/>
            </w:rPr>
            <w:t>绩</w:t>
          </w:r>
          <w:r>
            <w:rPr>
              <w:spacing w:val="-39"/>
            </w:rPr>
            <w:t>效情</w:t>
          </w:r>
          <w:r>
            <w:rPr>
              <w:spacing w:val="-41"/>
            </w:rPr>
            <w:t>况</w:t>
          </w:r>
          <w:r>
            <w:rPr>
              <w:spacing w:val="-39"/>
            </w:rPr>
            <w:t>的说明</w:t>
          </w:r>
          <w:r>
            <w:rPr>
              <w:spacing w:val="-39"/>
            </w:rPr>
            <w:tab/>
          </w:r>
          <w:r>
            <w:rPr>
              <w:rFonts w:hint="eastAsia" w:ascii="Times New Roman" w:eastAsia="宋体"/>
              <w:spacing w:val="-8"/>
              <w:lang w:val="en-US"/>
            </w:rPr>
            <w:fldChar w:fldCharType="end"/>
          </w:r>
          <w:r>
            <w:rPr>
              <w:rFonts w:hint="eastAsia" w:ascii="Times New Roman" w:eastAsia="宋体"/>
              <w:spacing w:val="-8"/>
              <w:lang w:val="en-US" w:eastAsia="zh-CN"/>
            </w:rPr>
            <w:t>20</w:t>
          </w:r>
        </w:p>
        <w:p>
          <w:pPr>
            <w:pStyle w:val="7"/>
            <w:tabs>
              <w:tab w:val="right" w:leader="dot" w:pos="8440"/>
            </w:tabs>
            <w:rPr>
              <w:rFonts w:ascii="Times New Roman" w:eastAsia="Times New Roman"/>
            </w:rPr>
          </w:pPr>
          <w:r>
            <w:fldChar w:fldCharType="begin"/>
          </w:r>
          <w:r>
            <w:instrText xml:space="preserve"> HYPERLINK \l "_bookmark22" </w:instrText>
          </w:r>
          <w:r>
            <w:fldChar w:fldCharType="separate"/>
          </w:r>
          <w:r>
            <w:t>四、名词解释</w:t>
          </w:r>
          <w:r>
            <w:tab/>
          </w:r>
          <w:r>
            <w:rPr>
              <w:rFonts w:hint="eastAsia" w:ascii="Times New Roman" w:eastAsia="宋体"/>
              <w:lang w:val="en-US" w:eastAsia="zh-CN"/>
            </w:rPr>
            <w:t>2</w:t>
          </w:r>
          <w:r>
            <w:rPr>
              <w:rFonts w:hint="eastAsia" w:ascii="Times New Roman" w:eastAsia="宋体"/>
              <w:lang w:val="en-US"/>
            </w:rPr>
            <w:fldChar w:fldCharType="end"/>
          </w:r>
          <w:r>
            <w:rPr>
              <w:rFonts w:hint="eastAsia" w:ascii="Times New Roman" w:eastAsia="宋体"/>
              <w:lang w:val="en-US" w:eastAsia="zh-CN"/>
            </w:rPr>
            <w:t>1</w:t>
          </w:r>
        </w:p>
      </w:sdtContent>
    </w:sdt>
    <w:p>
      <w:pPr>
        <w:rPr>
          <w:rFonts w:ascii="Times New Roman" w:eastAsia="Times New Roman"/>
        </w:rPr>
        <w:sectPr>
          <w:pgSz w:w="11910" w:h="16840"/>
          <w:pgMar w:top="1400" w:right="1520" w:bottom="280" w:left="1660" w:header="720" w:footer="720" w:gutter="0"/>
          <w:cols w:space="720" w:num="1"/>
        </w:sectPr>
      </w:pPr>
    </w:p>
    <w:p>
      <w:pPr>
        <w:pStyle w:val="3"/>
        <w:spacing w:before="24" w:line="360" w:lineRule="auto"/>
        <w:ind w:left="137"/>
        <w:rPr>
          <w:rFonts w:ascii="黑体" w:eastAsia="黑体"/>
        </w:rPr>
      </w:pPr>
      <w:bookmarkStart w:id="0" w:name="一、国家卫生健康委基本情况"/>
      <w:bookmarkEnd w:id="0"/>
      <w:bookmarkStart w:id="1" w:name="二、国家卫生健康委2020年度部门决算表"/>
      <w:bookmarkEnd w:id="1"/>
      <w:bookmarkStart w:id="2" w:name="_bookmark3"/>
      <w:bookmarkEnd w:id="2"/>
      <w:bookmarkStart w:id="3" w:name="_bookmark0"/>
      <w:bookmarkEnd w:id="3"/>
      <w:r>
        <w:rPr>
          <w:rFonts w:hint="eastAsia" w:ascii="黑体" w:eastAsia="黑体"/>
        </w:rPr>
        <w:t>一、国资委研究中心基本情况</w:t>
      </w:r>
    </w:p>
    <w:p>
      <w:pPr>
        <w:pStyle w:val="3"/>
        <w:spacing w:before="212" w:line="360" w:lineRule="auto"/>
        <w:ind w:firstLine="321" w:firstLineChars="100"/>
        <w:rPr>
          <w:rFonts w:ascii="楷体" w:eastAsia="楷体"/>
        </w:rPr>
      </w:pPr>
      <w:bookmarkStart w:id="4" w:name="（一）部门职责。"/>
      <w:bookmarkEnd w:id="4"/>
      <w:bookmarkStart w:id="5" w:name="_bookmark1"/>
      <w:bookmarkEnd w:id="5"/>
      <w:r>
        <w:rPr>
          <w:rFonts w:hint="eastAsia" w:ascii="楷体" w:eastAsia="楷体"/>
        </w:rPr>
        <w:t>（一）部门职责。</w:t>
      </w:r>
    </w:p>
    <w:p>
      <w:pPr>
        <w:autoSpaceDE/>
        <w:autoSpaceDN/>
        <w:spacing w:line="360" w:lineRule="auto"/>
        <w:ind w:firstLine="600" w:firstLineChars="200"/>
        <w:jc w:val="both"/>
        <w:rPr>
          <w:rFonts w:ascii="黑体" w:hAnsi="黑体" w:eastAsia="黑体" w:cs="Times New Roman"/>
          <w:kern w:val="2"/>
          <w:sz w:val="30"/>
          <w:szCs w:val="30"/>
          <w:lang w:val="en-US" w:bidi="ar-SA"/>
        </w:rPr>
      </w:pPr>
      <w:r>
        <w:rPr>
          <w:rFonts w:hint="eastAsia" w:ascii="仿宋_GB2312" w:hAnsi="Times New Roman" w:eastAsia="仿宋_GB2312" w:cs="Times New Roman"/>
          <w:kern w:val="2"/>
          <w:sz w:val="30"/>
          <w:szCs w:val="30"/>
          <w:lang w:val="en-US" w:bidi="ar-SA"/>
        </w:rPr>
        <w:t>国务院国有资产监督管理委员会研究中心（以下简称国资委研究中心）系国</w:t>
      </w:r>
      <w:r>
        <w:rPr>
          <w:rFonts w:ascii="仿宋_GB2312" w:hAnsi="Times New Roman" w:eastAsia="仿宋_GB2312" w:cs="Times New Roman"/>
          <w:kern w:val="2"/>
          <w:sz w:val="30"/>
          <w:szCs w:val="30"/>
          <w:lang w:val="en-US" w:bidi="ar-SA"/>
        </w:rPr>
        <w:t>务院</w:t>
      </w:r>
      <w:r>
        <w:rPr>
          <w:rFonts w:hint="eastAsia" w:ascii="仿宋_GB2312" w:hAnsi="Times New Roman" w:eastAsia="仿宋_GB2312" w:cs="Times New Roman"/>
          <w:kern w:val="2"/>
          <w:sz w:val="30"/>
          <w:szCs w:val="30"/>
          <w:lang w:val="en-US" w:bidi="ar-SA"/>
        </w:rPr>
        <w:t>国资委直属事业单位，其宗旨和主要任务是：紧密围绕国资委中心工作，深入研究国有资产监管、国有企业改革发展和国有经济结构调整理论和实践，充分履行智库职能，当好国资委和国资委党委的参谋助手，规范开展好咨询服务，完成好领导交办的其他事项。</w:t>
      </w:r>
    </w:p>
    <w:p>
      <w:pPr>
        <w:spacing w:line="360" w:lineRule="auto"/>
        <w:ind w:firstLine="600" w:firstLineChars="200"/>
        <w:rPr>
          <w:rFonts w:ascii="仿宋_GB2312" w:eastAsia="仿宋_GB2312"/>
          <w:sz w:val="30"/>
          <w:szCs w:val="30"/>
        </w:rPr>
      </w:pPr>
    </w:p>
    <w:p>
      <w:pPr>
        <w:pStyle w:val="3"/>
        <w:spacing w:before="24" w:line="360" w:lineRule="auto"/>
        <w:ind w:firstLine="321" w:firstLineChars="100"/>
        <w:rPr>
          <w:rFonts w:ascii="楷体" w:eastAsia="楷体"/>
        </w:rPr>
      </w:pPr>
      <w:bookmarkStart w:id="6" w:name="_bookmark2"/>
      <w:bookmarkEnd w:id="6"/>
      <w:bookmarkStart w:id="7" w:name="（二）部门机构设置。"/>
      <w:bookmarkEnd w:id="7"/>
      <w:r>
        <w:rPr>
          <w:rFonts w:hint="eastAsia" w:ascii="楷体" w:eastAsia="楷体"/>
        </w:rPr>
        <w:t>（二）部门机构设置。</w:t>
      </w:r>
    </w:p>
    <w:p>
      <w:pPr>
        <w:spacing w:line="360" w:lineRule="auto"/>
        <w:rPr>
          <w:sz w:val="20"/>
        </w:rPr>
      </w:pPr>
    </w:p>
    <w:p>
      <w:pPr>
        <w:spacing w:line="360" w:lineRule="auto"/>
        <w:ind w:firstLine="600" w:firstLineChars="200"/>
        <w:rPr>
          <w:sz w:val="20"/>
        </w:rPr>
        <w:sectPr>
          <w:footerReference r:id="rId4" w:type="default"/>
          <w:pgSz w:w="11910" w:h="16840"/>
          <w:pgMar w:top="1420" w:right="1520" w:bottom="1300" w:left="1660" w:header="0" w:footer="1120" w:gutter="0"/>
          <w:pgNumType w:start="1"/>
          <w:cols w:space="720" w:num="1"/>
        </w:sectPr>
      </w:pPr>
      <w:r>
        <w:rPr>
          <w:rFonts w:eastAsia="仿宋_GB2312"/>
          <w:sz w:val="30"/>
          <w:szCs w:val="30"/>
        </w:rPr>
        <w:t>国资委研究中心无下设机构，纳入202</w:t>
      </w:r>
      <w:r>
        <w:rPr>
          <w:rFonts w:hint="eastAsia" w:eastAsia="仿宋_GB2312"/>
          <w:sz w:val="30"/>
          <w:szCs w:val="30"/>
          <w:lang w:val="en-US" w:eastAsia="zh-CN"/>
        </w:rPr>
        <w:t>2</w:t>
      </w:r>
      <w:r>
        <w:rPr>
          <w:rFonts w:eastAsia="仿宋_GB2312"/>
          <w:sz w:val="30"/>
          <w:szCs w:val="30"/>
        </w:rPr>
        <w:t>年部门预算的为单位本级。</w:t>
      </w:r>
    </w:p>
    <w:p>
      <w:pPr>
        <w:pStyle w:val="3"/>
        <w:numPr>
          <w:ilvl w:val="0"/>
          <w:numId w:val="1"/>
        </w:numPr>
        <w:spacing w:before="65"/>
        <w:rPr>
          <w:rFonts w:ascii="黑体" w:eastAsia="黑体"/>
        </w:rPr>
      </w:pPr>
      <w:r>
        <w:rPr>
          <w:rFonts w:hint="eastAsia" w:ascii="黑体" w:eastAsia="黑体"/>
        </w:rPr>
        <w:t>国资委研究中心</w:t>
      </w:r>
      <w:r>
        <w:rPr>
          <w:rFonts w:hint="eastAsia" w:ascii="Times New Roman"/>
          <w:lang w:eastAsia="zh-CN"/>
        </w:rPr>
        <w:t>202</w:t>
      </w:r>
      <w:r>
        <w:rPr>
          <w:rFonts w:hint="eastAsia" w:ascii="Times New Roman"/>
          <w:lang w:val="en-US" w:eastAsia="zh-CN"/>
        </w:rPr>
        <w:t>2</w:t>
      </w:r>
      <w:r>
        <w:rPr>
          <w:rFonts w:ascii="Times New Roman" w:eastAsia="Times New Roman"/>
        </w:rPr>
        <w:t xml:space="preserve"> </w:t>
      </w:r>
      <w:r>
        <w:rPr>
          <w:rFonts w:hint="eastAsia" w:ascii="黑体" w:eastAsia="黑体"/>
        </w:rPr>
        <w:t>年度部门决算表</w:t>
      </w:r>
    </w:p>
    <w:p>
      <w:pPr>
        <w:pStyle w:val="3"/>
        <w:spacing w:before="54"/>
        <w:jc w:val="center"/>
        <w:rPr>
          <w:w w:val="95"/>
        </w:rPr>
      </w:pPr>
      <w:r>
        <w:rPr>
          <w:w w:val="95"/>
        </w:rPr>
        <w:t>收入</w:t>
      </w:r>
      <w:r>
        <w:rPr>
          <w:rFonts w:hint="eastAsia"/>
          <w:w w:val="95"/>
        </w:rPr>
        <w:t>支出</w:t>
      </w:r>
      <w:r>
        <w:rPr>
          <w:w w:val="95"/>
        </w:rPr>
        <w:t>决算</w:t>
      </w:r>
      <w:r>
        <w:rPr>
          <w:rFonts w:hint="eastAsia"/>
          <w:w w:val="95"/>
        </w:rPr>
        <w:t>总</w:t>
      </w:r>
      <w:r>
        <w:rPr>
          <w:w w:val="95"/>
        </w:rPr>
        <w:t>表</w:t>
      </w:r>
    </w:p>
    <w:p>
      <w:pPr>
        <w:spacing w:before="1"/>
        <w:ind w:right="280" w:firstLine="13000" w:firstLineChars="6500"/>
        <w:jc w:val="both"/>
        <w:rPr>
          <w:rFonts w:ascii="宋体" w:eastAsia="宋体"/>
          <w:sz w:val="20"/>
        </w:rPr>
      </w:pPr>
      <w:r>
        <w:rPr>
          <w:rFonts w:hint="eastAsia" w:ascii="宋体" w:eastAsia="宋体"/>
          <w:sz w:val="20"/>
        </w:rPr>
        <w:t xml:space="preserve">公开 </w:t>
      </w:r>
      <w:r>
        <w:rPr>
          <w:rFonts w:ascii="Times New Roman" w:eastAsia="Times New Roman"/>
          <w:sz w:val="20"/>
        </w:rPr>
        <w:t>0</w:t>
      </w:r>
      <w:r>
        <w:rPr>
          <w:rFonts w:hint="eastAsia" w:ascii="Times New Roman" w:eastAsia="宋体"/>
          <w:sz w:val="20"/>
          <w:lang w:val="en-US"/>
        </w:rPr>
        <w:t>1</w:t>
      </w:r>
      <w:r>
        <w:rPr>
          <w:rFonts w:ascii="Times New Roman" w:eastAsia="Times New Roman"/>
          <w:sz w:val="20"/>
        </w:rPr>
        <w:t xml:space="preserve"> </w:t>
      </w:r>
      <w:r>
        <w:rPr>
          <w:rFonts w:hint="eastAsia" w:ascii="宋体" w:eastAsia="宋体"/>
          <w:sz w:val="20"/>
        </w:rPr>
        <w:t>表</w:t>
      </w:r>
    </w:p>
    <w:p>
      <w:pPr>
        <w:tabs>
          <w:tab w:val="left" w:pos="12776"/>
        </w:tabs>
        <w:spacing w:before="84" w:after="11"/>
        <w:ind w:left="220"/>
        <w:rPr>
          <w:rFonts w:ascii="黑体" w:eastAsia="黑体"/>
        </w:rPr>
      </w:pPr>
      <w:r>
        <w:rPr>
          <w:rFonts w:hint="eastAsia" w:ascii="宋体" w:eastAsia="宋体"/>
          <w:sz w:val="20"/>
        </w:rPr>
        <w:t>部门：国资委研究中心</w:t>
      </w:r>
      <w:r>
        <w:rPr>
          <w:rFonts w:hint="eastAsia" w:ascii="宋体" w:eastAsia="宋体"/>
          <w:sz w:val="20"/>
          <w:lang w:val="en-US" w:eastAsia="zh-CN"/>
        </w:rPr>
        <w:t xml:space="preserve">                                                                                                         </w:t>
      </w:r>
      <w:r>
        <w:rPr>
          <w:rFonts w:hint="eastAsia" w:ascii="宋体" w:eastAsia="宋体"/>
          <w:sz w:val="20"/>
        </w:rPr>
        <w:t>金额单位：</w:t>
      </w:r>
      <w:r>
        <w:rPr>
          <w:rFonts w:hint="eastAsia" w:ascii="宋体" w:eastAsia="宋体"/>
          <w:sz w:val="20"/>
          <w:lang w:eastAsia="zh-CN"/>
        </w:rPr>
        <w:t>万</w:t>
      </w:r>
      <w:r>
        <w:rPr>
          <w:rFonts w:hint="eastAsia" w:ascii="宋体" w:eastAsia="宋体"/>
          <w:sz w:val="20"/>
        </w:rPr>
        <w:t>元</w:t>
      </w:r>
    </w:p>
    <w:tbl>
      <w:tblPr>
        <w:tblStyle w:val="9"/>
        <w:tblW w:w="14070" w:type="dxa"/>
        <w:tblInd w:w="93" w:type="dxa"/>
        <w:tblLayout w:type="fixed"/>
        <w:tblCellMar>
          <w:top w:w="0" w:type="dxa"/>
          <w:left w:w="108" w:type="dxa"/>
          <w:bottom w:w="0" w:type="dxa"/>
          <w:right w:w="108" w:type="dxa"/>
        </w:tblCellMar>
      </w:tblPr>
      <w:tblGrid>
        <w:gridCol w:w="4353"/>
        <w:gridCol w:w="764"/>
        <w:gridCol w:w="1918"/>
        <w:gridCol w:w="4251"/>
        <w:gridCol w:w="793"/>
        <w:gridCol w:w="1991"/>
      </w:tblGrid>
      <w:tr>
        <w:tblPrEx>
          <w:tblCellMar>
            <w:top w:w="0" w:type="dxa"/>
            <w:left w:w="108" w:type="dxa"/>
            <w:bottom w:w="0" w:type="dxa"/>
            <w:right w:w="108" w:type="dxa"/>
          </w:tblCellMar>
        </w:tblPrEx>
        <w:trPr>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收入</w:t>
            </w:r>
          </w:p>
        </w:tc>
        <w:tc>
          <w:tcPr>
            <w:tcW w:w="703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支出</w:t>
            </w:r>
          </w:p>
        </w:tc>
      </w:tr>
      <w:tr>
        <w:tblPrEx>
          <w:tblCellMar>
            <w:top w:w="0" w:type="dxa"/>
            <w:left w:w="108" w:type="dxa"/>
            <w:bottom w:w="0" w:type="dxa"/>
            <w:right w:w="108" w:type="dxa"/>
          </w:tblCellMar>
        </w:tblPrEx>
        <w:trPr>
          <w:trHeight w:val="90"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行次</w:t>
            </w:r>
          </w:p>
        </w:tc>
        <w:tc>
          <w:tcPr>
            <w:tcW w:w="191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金额</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行次</w:t>
            </w:r>
          </w:p>
        </w:tc>
        <w:tc>
          <w:tcPr>
            <w:tcW w:w="199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金额</w:t>
            </w: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764"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91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栏次</w:t>
            </w:r>
          </w:p>
        </w:tc>
        <w:tc>
          <w:tcPr>
            <w:tcW w:w="793"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99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一、一般公共预算财政拨款收入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1,249.06</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一、一般公共服务支出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32</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90"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二、政府性基金预算财政拨款收入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二、外交支出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33</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三、国有资本经营预算财政拨款收入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三、国防支出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34</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四、上级补助收入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四、公共安全支出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35</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五、事业收入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622.42</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五、教育支出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36</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六、经营收入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六、科学技术支出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37</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七、附属单位上缴收入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7</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七、文化旅游体育与传媒支出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38</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八、其他收入</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8</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23.07</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八、社会保障和就业支出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39</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121.13</w:t>
            </w: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9</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九、卫生健康支出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40</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10</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十、节能环保支出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41</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11</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十一、城乡社区支出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42</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12</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十二、农林水支出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43</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13</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十三、交通运输支出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44</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14</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十四、资源勘探工业信息等支出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45</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1,157.89</w:t>
            </w: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15</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十五、商业服务业等支出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46</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16</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十六、金融支出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47</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17</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十七、援助其他地区支出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48</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18</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十八、自然资源海洋气象等支出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49</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19</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十九、住房保障支出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50</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114.21</w:t>
            </w: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20</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二十、粮油物资储备支出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51</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21</w:t>
            </w:r>
          </w:p>
        </w:tc>
        <w:tc>
          <w:tcPr>
            <w:tcW w:w="1918"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二十一、国有资本经营预算支出</w:t>
            </w:r>
          </w:p>
        </w:tc>
        <w:tc>
          <w:tcPr>
            <w:tcW w:w="793" w:type="dxa"/>
            <w:tcBorders>
              <w:top w:val="nil"/>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52</w:t>
            </w:r>
          </w:p>
        </w:tc>
        <w:tc>
          <w:tcPr>
            <w:tcW w:w="1991"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703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收入</w:t>
            </w:r>
          </w:p>
        </w:tc>
        <w:tc>
          <w:tcPr>
            <w:tcW w:w="703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lang w:val="en-US" w:bidi="ar"/>
              </w:rPr>
            </w:pPr>
            <w:r>
              <w:rPr>
                <w:rFonts w:hint="eastAsia" w:ascii="宋体" w:hAnsi="宋体" w:eastAsia="宋体" w:cs="宋体"/>
                <w:color w:val="000000"/>
                <w:lang w:val="en-US" w:bidi="ar"/>
              </w:rPr>
              <w:t>支出</w:t>
            </w:r>
          </w:p>
        </w:tc>
      </w:tr>
      <w:tr>
        <w:tblPrEx>
          <w:tblCellMar>
            <w:top w:w="0" w:type="dxa"/>
            <w:left w:w="108" w:type="dxa"/>
            <w:bottom w:w="0" w:type="dxa"/>
            <w:right w:w="108" w:type="dxa"/>
          </w:tblCellMar>
        </w:tblPrEx>
        <w:trPr>
          <w:trHeight w:val="308" w:hRule="atLeast"/>
        </w:trPr>
        <w:tc>
          <w:tcPr>
            <w:tcW w:w="43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项目</w:t>
            </w:r>
          </w:p>
        </w:tc>
        <w:tc>
          <w:tcPr>
            <w:tcW w:w="764"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行次</w:t>
            </w:r>
          </w:p>
        </w:tc>
        <w:tc>
          <w:tcPr>
            <w:tcW w:w="1918"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金额</w:t>
            </w:r>
          </w:p>
        </w:tc>
        <w:tc>
          <w:tcPr>
            <w:tcW w:w="4251"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项目</w:t>
            </w:r>
          </w:p>
        </w:tc>
        <w:tc>
          <w:tcPr>
            <w:tcW w:w="793"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行次</w:t>
            </w:r>
          </w:p>
        </w:tc>
        <w:tc>
          <w:tcPr>
            <w:tcW w:w="19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金额</w:t>
            </w:r>
          </w:p>
        </w:tc>
      </w:tr>
      <w:tr>
        <w:tblPrEx>
          <w:tblCellMar>
            <w:top w:w="0" w:type="dxa"/>
            <w:left w:w="108" w:type="dxa"/>
            <w:bottom w:w="0" w:type="dxa"/>
            <w:right w:w="108" w:type="dxa"/>
          </w:tblCellMar>
        </w:tblPrEx>
        <w:trPr>
          <w:trHeight w:val="308" w:hRule="atLeast"/>
        </w:trPr>
        <w:tc>
          <w:tcPr>
            <w:tcW w:w="43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栏次</w:t>
            </w:r>
          </w:p>
        </w:tc>
        <w:tc>
          <w:tcPr>
            <w:tcW w:w="764"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lang w:val="en-US"/>
              </w:rPr>
            </w:pPr>
          </w:p>
        </w:tc>
        <w:tc>
          <w:tcPr>
            <w:tcW w:w="1918"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1</w:t>
            </w:r>
          </w:p>
        </w:tc>
        <w:tc>
          <w:tcPr>
            <w:tcW w:w="4251" w:type="dxa"/>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栏次</w:t>
            </w:r>
          </w:p>
        </w:tc>
        <w:tc>
          <w:tcPr>
            <w:tcW w:w="793" w:type="dxa"/>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lang w:val="en-US"/>
              </w:rPr>
            </w:pPr>
          </w:p>
        </w:tc>
        <w:tc>
          <w:tcPr>
            <w:tcW w:w="199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lang w:val="en-US"/>
              </w:rPr>
            </w:pPr>
            <w:r>
              <w:rPr>
                <w:rFonts w:hint="eastAsia" w:ascii="宋体" w:hAnsi="宋体" w:eastAsia="宋体" w:cs="宋体"/>
                <w:color w:val="000000"/>
                <w:lang w:val="en-US" w:bidi="ar"/>
              </w:rPr>
              <w:t>2</w:t>
            </w:r>
          </w:p>
        </w:tc>
      </w:tr>
      <w:tr>
        <w:tblPrEx>
          <w:tblCellMar>
            <w:top w:w="0" w:type="dxa"/>
            <w:left w:w="108" w:type="dxa"/>
            <w:bottom w:w="0" w:type="dxa"/>
            <w:right w:w="108" w:type="dxa"/>
          </w:tblCellMar>
        </w:tblPrEx>
        <w:trPr>
          <w:trHeight w:val="90" w:hRule="atLeast"/>
        </w:trPr>
        <w:tc>
          <w:tcPr>
            <w:tcW w:w="4353"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22</w:t>
            </w:r>
          </w:p>
        </w:tc>
        <w:tc>
          <w:tcPr>
            <w:tcW w:w="1918" w:type="dxa"/>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single" w:color="auto" w:sz="4" w:space="0"/>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二十二、灾害防治及应急管理支出</w:t>
            </w:r>
          </w:p>
        </w:tc>
        <w:tc>
          <w:tcPr>
            <w:tcW w:w="793" w:type="dxa"/>
            <w:tcBorders>
              <w:top w:val="single" w:color="auto"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53</w:t>
            </w:r>
          </w:p>
        </w:tc>
        <w:tc>
          <w:tcPr>
            <w:tcW w:w="199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23</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二十三、其他支出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54</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24</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二十四、债务还本支出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55</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25</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二十五、债务付息支出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56</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bidi="ar"/>
              </w:rPr>
              <w:t>26</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二十六、抗疫特别国债安排的支出</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57</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本年收入合计</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27</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1,894.55</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本年支出合计</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58</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1,393.23</w:t>
            </w: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使用非财政拨款结余</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28</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rPr>
            </w:pPr>
            <w:r>
              <w:rPr>
                <w:rFonts w:hint="eastAsia" w:ascii="宋体" w:hAnsi="宋体" w:eastAsia="宋体" w:cs="宋体"/>
                <w:i w:val="0"/>
                <w:color w:val="000000"/>
                <w:kern w:val="0"/>
                <w:sz w:val="22"/>
                <w:szCs w:val="22"/>
                <w:u w:val="none"/>
                <w:lang w:val="en-US" w:eastAsia="zh-CN" w:bidi="ar"/>
              </w:rPr>
              <w:t>31.61</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结余分配</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59</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color w:val="000000"/>
                <w:lang w:val="en-US" w:eastAsia="zh-CN"/>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年初结转和结余</w:t>
            </w: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29</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187.43</w:t>
            </w:r>
          </w:p>
        </w:tc>
        <w:tc>
          <w:tcPr>
            <w:tcW w:w="4251" w:type="dxa"/>
            <w:tcBorders>
              <w:top w:val="nil"/>
              <w:left w:val="nil"/>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年末结转和结余</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60</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720.35</w:t>
            </w: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6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30</w:t>
            </w:r>
          </w:p>
        </w:tc>
        <w:tc>
          <w:tcPr>
            <w:tcW w:w="191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color w:val="000000"/>
              </w:rPr>
            </w:pPr>
          </w:p>
        </w:tc>
        <w:tc>
          <w:tcPr>
            <w:tcW w:w="4251" w:type="dxa"/>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61</w:t>
            </w:r>
          </w:p>
        </w:tc>
        <w:tc>
          <w:tcPr>
            <w:tcW w:w="1991" w:type="dxa"/>
            <w:tcBorders>
              <w:top w:val="nil"/>
              <w:left w:val="nil"/>
              <w:bottom w:val="single" w:color="000000" w:sz="4" w:space="0"/>
              <w:right w:val="single" w:color="000000" w:sz="4" w:space="0"/>
            </w:tcBorders>
            <w:shd w:val="clear" w:color="auto" w:fill="auto"/>
            <w:vAlign w:val="center"/>
          </w:tcPr>
          <w:p>
            <w:pPr>
              <w:jc w:val="left"/>
              <w:rPr>
                <w:rFonts w:ascii="宋体" w:hAnsi="宋体" w:eastAsia="宋体" w:cs="宋体"/>
                <w:color w:val="000000"/>
              </w:rPr>
            </w:pPr>
          </w:p>
        </w:tc>
      </w:tr>
      <w:tr>
        <w:tblPrEx>
          <w:tblCellMar>
            <w:top w:w="0" w:type="dxa"/>
            <w:left w:w="108" w:type="dxa"/>
            <w:bottom w:w="0" w:type="dxa"/>
            <w:right w:w="108" w:type="dxa"/>
          </w:tblCellMar>
        </w:tblPrEx>
        <w:trPr>
          <w:trHeight w:val="308" w:hRule="atLeast"/>
        </w:trPr>
        <w:tc>
          <w:tcPr>
            <w:tcW w:w="435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总计</w:t>
            </w:r>
          </w:p>
        </w:tc>
        <w:tc>
          <w:tcPr>
            <w:tcW w:w="764" w:type="dxa"/>
            <w:tcBorders>
              <w:top w:val="nil"/>
              <w:left w:val="nil"/>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31</w:t>
            </w:r>
          </w:p>
        </w:tc>
        <w:tc>
          <w:tcPr>
            <w:tcW w:w="19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2,113.58</w:t>
            </w:r>
          </w:p>
        </w:tc>
        <w:tc>
          <w:tcPr>
            <w:tcW w:w="425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rPr>
            </w:pPr>
            <w:r>
              <w:rPr>
                <w:rFonts w:hint="eastAsia" w:ascii="宋体" w:hAnsi="宋体" w:eastAsia="宋体" w:cs="宋体"/>
                <w:b/>
                <w:bCs/>
                <w:color w:val="000000"/>
                <w:lang w:val="en-US" w:bidi="ar"/>
              </w:rPr>
              <w:t>总计</w:t>
            </w:r>
          </w:p>
        </w:tc>
        <w:tc>
          <w:tcPr>
            <w:tcW w:w="79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lang w:val="en-US" w:bidi="ar"/>
              </w:rPr>
              <w:t>62</w:t>
            </w:r>
          </w:p>
        </w:tc>
        <w:tc>
          <w:tcPr>
            <w:tcW w:w="1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lang w:val="en-US" w:eastAsia="zh-CN"/>
              </w:rPr>
            </w:pPr>
            <w:r>
              <w:rPr>
                <w:rFonts w:hint="eastAsia" w:ascii="宋体" w:hAnsi="宋体" w:eastAsia="宋体" w:cs="宋体"/>
                <w:i w:val="0"/>
                <w:color w:val="000000"/>
                <w:kern w:val="0"/>
                <w:sz w:val="22"/>
                <w:szCs w:val="22"/>
                <w:u w:val="none"/>
                <w:lang w:val="en-US" w:eastAsia="zh-CN" w:bidi="ar"/>
              </w:rPr>
              <w:t>2,113.58</w:t>
            </w:r>
          </w:p>
        </w:tc>
      </w:tr>
      <w:tr>
        <w:tblPrEx>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color="auto" w:fill="auto"/>
            <w:vAlign w:val="center"/>
          </w:tcPr>
          <w:p>
            <w:pPr>
              <w:widowControl/>
              <w:textAlignment w:val="center"/>
              <w:rPr>
                <w:rFonts w:ascii="宋体" w:hAnsi="宋体" w:eastAsia="宋体" w:cs="宋体"/>
                <w:color w:val="000000"/>
              </w:rPr>
            </w:pPr>
            <w:r>
              <w:rPr>
                <w:rFonts w:hint="eastAsia" w:ascii="宋体" w:hAnsi="宋体" w:eastAsia="宋体" w:cs="宋体"/>
                <w:color w:val="000000"/>
                <w:lang w:val="en-US" w:bidi="ar"/>
              </w:rPr>
              <w:t>注：本表反映部门本年度的总收支和年末结转结余情况。本套报表金额单位转换时可能存在尾数误差。</w:t>
            </w:r>
          </w:p>
        </w:tc>
      </w:tr>
    </w:tbl>
    <w:p>
      <w:pPr>
        <w:jc w:val="left"/>
        <w:rPr>
          <w:lang w:val="zh-CN" w:eastAsia="zh-CN"/>
        </w:rPr>
        <w:sectPr>
          <w:footerReference r:id="rId5" w:type="default"/>
          <w:pgSz w:w="16840" w:h="11910" w:orient="landscape"/>
          <w:pgMar w:top="1100" w:right="1160" w:bottom="1380" w:left="1220" w:header="0" w:footer="1200" w:gutter="0"/>
          <w:cols w:space="720" w:num="1"/>
        </w:sectPr>
      </w:pPr>
      <w:bookmarkStart w:id="8" w:name="_bookmark4"/>
      <w:bookmarkEnd w:id="8"/>
      <w:bookmarkStart w:id="9" w:name="收入支出决算总表"/>
      <w:bookmarkEnd w:id="9"/>
    </w:p>
    <w:tbl>
      <w:tblPr>
        <w:tblStyle w:val="9"/>
        <w:tblW w:w="140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85"/>
        <w:gridCol w:w="1161"/>
        <w:gridCol w:w="240"/>
        <w:gridCol w:w="960"/>
        <w:gridCol w:w="960"/>
        <w:gridCol w:w="960"/>
        <w:gridCol w:w="403"/>
        <w:gridCol w:w="557"/>
        <w:gridCol w:w="1059"/>
        <w:gridCol w:w="265"/>
        <w:gridCol w:w="960"/>
        <w:gridCol w:w="960"/>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trPr>
        <w:tc>
          <w:tcPr>
            <w:tcW w:w="14010" w:type="dxa"/>
            <w:gridSpan w:val="16"/>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10" w:name="收入决算表"/>
            <w:bookmarkEnd w:id="10"/>
            <w:bookmarkStart w:id="11" w:name="_bookmark5"/>
            <w:bookmarkEnd w:id="11"/>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846" w:type="dxa"/>
            <w:gridSpan w:val="2"/>
            <w:shd w:val="clear" w:color="auto" w:fill="auto"/>
            <w:vAlign w:val="bottom"/>
          </w:tcPr>
          <w:p>
            <w:pPr>
              <w:rPr>
                <w:rFonts w:hint="eastAsia"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c>
          <w:tcPr>
            <w:tcW w:w="1059" w:type="dxa"/>
            <w:shd w:val="clear" w:color="auto" w:fill="auto"/>
            <w:vAlign w:val="bottom"/>
          </w:tcPr>
          <w:p>
            <w:pPr>
              <w:rPr>
                <w:rFonts w:hint="default" w:ascii="Arial" w:hAnsi="Arial" w:cs="Arial"/>
                <w:i w:val="0"/>
                <w:color w:val="000000"/>
                <w:sz w:val="20"/>
                <w:szCs w:val="20"/>
                <w:u w:val="none"/>
              </w:rPr>
            </w:pPr>
          </w:p>
        </w:tc>
        <w:tc>
          <w:tcPr>
            <w:tcW w:w="6025" w:type="dxa"/>
            <w:gridSpan w:val="7"/>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 w:hRule="atLeast"/>
        </w:trPr>
        <w:tc>
          <w:tcPr>
            <w:tcW w:w="2846" w:type="dxa"/>
            <w:gridSpan w:val="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24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c>
          <w:tcPr>
            <w:tcW w:w="1059" w:type="dxa"/>
            <w:shd w:val="clear" w:color="auto" w:fill="auto"/>
            <w:vAlign w:val="bottom"/>
          </w:tcPr>
          <w:p>
            <w:pPr>
              <w:rPr>
                <w:rFonts w:hint="default" w:ascii="Arial" w:hAnsi="Arial" w:cs="Arial"/>
                <w:i w:val="0"/>
                <w:color w:val="000000"/>
                <w:sz w:val="20"/>
                <w:szCs w:val="20"/>
                <w:u w:val="none"/>
              </w:rPr>
            </w:pPr>
          </w:p>
        </w:tc>
        <w:tc>
          <w:tcPr>
            <w:tcW w:w="6025" w:type="dxa"/>
            <w:gridSpan w:val="7"/>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3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81"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4684" w:type="dxa"/>
            <w:gridSpan w:val="6"/>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81"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684" w:type="dxa"/>
            <w:gridSpan w:val="6"/>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1"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684" w:type="dxa"/>
            <w:gridSpan w:val="6"/>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81"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369" w:type="dxa"/>
            <w:gridSpan w:val="7"/>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369" w:type="dxa"/>
            <w:gridSpan w:val="7"/>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1,894.55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1,249.06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622.42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1,700.44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1,167.20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510.17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21507</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国有资产监管</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1,700.44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1,167.20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510.17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2150799</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其他国有资产监管支出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1,700.44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1,167.20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510.17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60.41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8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4684"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88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010"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pStyle w:val="3"/>
        <w:spacing w:before="54"/>
        <w:jc w:val="both"/>
        <w:rPr>
          <w:w w:val="95"/>
        </w:rPr>
        <w:sectPr>
          <w:pgSz w:w="16840" w:h="11910" w:orient="landscape"/>
          <w:pgMar w:top="1100" w:right="1160" w:bottom="1380" w:left="1220" w:header="0" w:footer="1200" w:gutter="0"/>
          <w:cols w:space="720" w:num="1"/>
        </w:sectPr>
      </w:pPr>
    </w:p>
    <w:p/>
    <w:tbl>
      <w:tblPr>
        <w:tblStyle w:val="9"/>
        <w:tblW w:w="14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58"/>
        <w:gridCol w:w="1107"/>
        <w:gridCol w:w="294"/>
        <w:gridCol w:w="1295"/>
        <w:gridCol w:w="1130"/>
        <w:gridCol w:w="121"/>
        <w:gridCol w:w="939"/>
        <w:gridCol w:w="1106"/>
        <w:gridCol w:w="1295"/>
        <w:gridCol w:w="1130"/>
        <w:gridCol w:w="1060"/>
        <w:gridCol w:w="1090"/>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0" w:hRule="atLeast"/>
        </w:trPr>
        <w:tc>
          <w:tcPr>
            <w:tcW w:w="14405" w:type="dxa"/>
            <w:gridSpan w:val="13"/>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3365" w:type="dxa"/>
            <w:gridSpan w:val="2"/>
            <w:shd w:val="clear" w:color="auto" w:fill="auto"/>
            <w:vAlign w:val="bottom"/>
          </w:tcPr>
          <w:p>
            <w:pPr>
              <w:rPr>
                <w:rFonts w:hint="eastAsia" w:ascii="Arial" w:hAnsi="Arial" w:cs="Arial"/>
                <w:i w:val="0"/>
                <w:color w:val="000000"/>
                <w:sz w:val="20"/>
                <w:szCs w:val="20"/>
                <w:u w:val="none"/>
              </w:rPr>
            </w:pPr>
          </w:p>
        </w:tc>
        <w:tc>
          <w:tcPr>
            <w:tcW w:w="294" w:type="dxa"/>
            <w:shd w:val="clear" w:color="auto" w:fill="auto"/>
            <w:vAlign w:val="bottom"/>
          </w:tcPr>
          <w:p>
            <w:pPr>
              <w:rPr>
                <w:rFonts w:hint="default" w:ascii="Arial" w:hAnsi="Arial" w:cs="Arial"/>
                <w:i w:val="0"/>
                <w:color w:val="000000"/>
                <w:sz w:val="20"/>
                <w:szCs w:val="20"/>
                <w:u w:val="none"/>
              </w:rPr>
            </w:pPr>
          </w:p>
        </w:tc>
        <w:tc>
          <w:tcPr>
            <w:tcW w:w="1295" w:type="dxa"/>
            <w:shd w:val="clear" w:color="auto" w:fill="auto"/>
            <w:vAlign w:val="bottom"/>
          </w:tcPr>
          <w:p>
            <w:pPr>
              <w:rPr>
                <w:rFonts w:hint="default" w:ascii="Arial" w:hAnsi="Arial" w:cs="Arial"/>
                <w:i w:val="0"/>
                <w:color w:val="000000"/>
                <w:sz w:val="20"/>
                <w:szCs w:val="20"/>
                <w:u w:val="none"/>
              </w:rPr>
            </w:pPr>
          </w:p>
        </w:tc>
        <w:tc>
          <w:tcPr>
            <w:tcW w:w="1130" w:type="dxa"/>
            <w:shd w:val="clear" w:color="auto" w:fill="auto"/>
            <w:vAlign w:val="bottom"/>
          </w:tcPr>
          <w:p>
            <w:pPr>
              <w:rPr>
                <w:rFonts w:hint="default" w:ascii="Arial" w:hAnsi="Arial" w:cs="Arial"/>
                <w:i w:val="0"/>
                <w:color w:val="000000"/>
                <w:sz w:val="20"/>
                <w:szCs w:val="20"/>
                <w:u w:val="none"/>
              </w:rPr>
            </w:pPr>
          </w:p>
        </w:tc>
        <w:tc>
          <w:tcPr>
            <w:tcW w:w="1060" w:type="dxa"/>
            <w:gridSpan w:val="2"/>
            <w:shd w:val="clear" w:color="auto" w:fill="auto"/>
            <w:vAlign w:val="bottom"/>
          </w:tcPr>
          <w:p>
            <w:pPr>
              <w:rPr>
                <w:rFonts w:hint="default" w:ascii="Arial" w:hAnsi="Arial" w:cs="Arial"/>
                <w:i w:val="0"/>
                <w:color w:val="000000"/>
                <w:sz w:val="20"/>
                <w:szCs w:val="20"/>
                <w:u w:val="none"/>
              </w:rPr>
            </w:pPr>
          </w:p>
        </w:tc>
        <w:tc>
          <w:tcPr>
            <w:tcW w:w="1106" w:type="dxa"/>
            <w:shd w:val="clear" w:color="auto" w:fill="auto"/>
            <w:vAlign w:val="bottom"/>
          </w:tcPr>
          <w:p>
            <w:pPr>
              <w:rPr>
                <w:rFonts w:hint="default" w:ascii="Arial" w:hAnsi="Arial" w:cs="Arial"/>
                <w:i w:val="0"/>
                <w:color w:val="000000"/>
                <w:sz w:val="20"/>
                <w:szCs w:val="20"/>
                <w:u w:val="none"/>
              </w:rPr>
            </w:pPr>
          </w:p>
        </w:tc>
        <w:tc>
          <w:tcPr>
            <w:tcW w:w="6155" w:type="dxa"/>
            <w:gridSpan w:val="5"/>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3365" w:type="dxa"/>
            <w:gridSpan w:val="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294" w:type="dxa"/>
            <w:shd w:val="clear" w:color="auto" w:fill="auto"/>
            <w:vAlign w:val="bottom"/>
          </w:tcPr>
          <w:p>
            <w:pPr>
              <w:rPr>
                <w:rFonts w:hint="default" w:ascii="Arial" w:hAnsi="Arial" w:cs="Arial"/>
                <w:i w:val="0"/>
                <w:color w:val="000000"/>
                <w:sz w:val="20"/>
                <w:szCs w:val="20"/>
                <w:u w:val="none"/>
              </w:rPr>
            </w:pPr>
          </w:p>
        </w:tc>
        <w:tc>
          <w:tcPr>
            <w:tcW w:w="1295" w:type="dxa"/>
            <w:shd w:val="clear" w:color="auto" w:fill="auto"/>
            <w:vAlign w:val="bottom"/>
          </w:tcPr>
          <w:p>
            <w:pPr>
              <w:rPr>
                <w:rFonts w:hint="default" w:ascii="Arial" w:hAnsi="Arial" w:cs="Arial"/>
                <w:i w:val="0"/>
                <w:color w:val="000000"/>
                <w:sz w:val="20"/>
                <w:szCs w:val="20"/>
                <w:u w:val="none"/>
              </w:rPr>
            </w:pPr>
          </w:p>
        </w:tc>
        <w:tc>
          <w:tcPr>
            <w:tcW w:w="1130" w:type="dxa"/>
            <w:shd w:val="clear" w:color="auto" w:fill="auto"/>
            <w:vAlign w:val="bottom"/>
          </w:tcPr>
          <w:p>
            <w:pPr>
              <w:rPr>
                <w:rFonts w:hint="default" w:ascii="Arial" w:hAnsi="Arial" w:cs="Arial"/>
                <w:i w:val="0"/>
                <w:color w:val="000000"/>
                <w:sz w:val="20"/>
                <w:szCs w:val="20"/>
                <w:u w:val="none"/>
              </w:rPr>
            </w:pPr>
          </w:p>
        </w:tc>
        <w:tc>
          <w:tcPr>
            <w:tcW w:w="1060" w:type="dxa"/>
            <w:gridSpan w:val="2"/>
            <w:shd w:val="clear" w:color="auto" w:fill="auto"/>
            <w:vAlign w:val="bottom"/>
          </w:tcPr>
          <w:p>
            <w:pPr>
              <w:rPr>
                <w:rFonts w:hint="default" w:ascii="Arial" w:hAnsi="Arial" w:cs="Arial"/>
                <w:i w:val="0"/>
                <w:color w:val="000000"/>
                <w:sz w:val="20"/>
                <w:szCs w:val="20"/>
                <w:u w:val="none"/>
              </w:rPr>
            </w:pPr>
          </w:p>
        </w:tc>
        <w:tc>
          <w:tcPr>
            <w:tcW w:w="1106" w:type="dxa"/>
            <w:shd w:val="clear" w:color="auto" w:fill="auto"/>
            <w:vAlign w:val="bottom"/>
          </w:tcPr>
          <w:p>
            <w:pPr>
              <w:rPr>
                <w:rFonts w:hint="default" w:ascii="Arial" w:hAnsi="Arial" w:cs="Arial"/>
                <w:i w:val="0"/>
                <w:color w:val="000000"/>
                <w:sz w:val="20"/>
                <w:szCs w:val="20"/>
                <w:u w:val="none"/>
              </w:rPr>
            </w:pPr>
          </w:p>
        </w:tc>
        <w:tc>
          <w:tcPr>
            <w:tcW w:w="6155" w:type="dxa"/>
            <w:gridSpan w:val="5"/>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 w:hRule="atLeast"/>
        </w:trPr>
        <w:tc>
          <w:tcPr>
            <w:tcW w:w="6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45"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29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5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5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47" w:type="dxa"/>
            <w:gridSpan w:val="5"/>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45"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9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8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47" w:type="dxa"/>
            <w:gridSpan w:val="5"/>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45"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9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8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47" w:type="dxa"/>
            <w:gridSpan w:val="5"/>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45"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5"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9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8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 w:hRule="atLeast"/>
        </w:trPr>
        <w:tc>
          <w:tcPr>
            <w:tcW w:w="6205" w:type="dxa"/>
            <w:gridSpan w:val="6"/>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6205" w:type="dxa"/>
            <w:gridSpan w:val="6"/>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1,393.23</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1,128.39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264.84</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121.13</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121.13</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77.59</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40.83</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1,157.89</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893.05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264.84</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21507</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国有资产监管</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1,157.89</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893.05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264.84</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2150799</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其他国有资产监管支出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1,157.89</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893.05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264.84</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114.21</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114.21</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69.05</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947"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2045"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39.66</w:t>
            </w:r>
          </w:p>
        </w:tc>
        <w:tc>
          <w:tcPr>
            <w:tcW w:w="129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39.66</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4405" w:type="dxa"/>
            <w:gridSpan w:val="1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ascii="宋体"/>
        </w:rPr>
        <w:sectPr>
          <w:footerReference r:id="rId6" w:type="default"/>
          <w:pgSz w:w="16840" w:h="11910" w:orient="landscape"/>
          <w:pgMar w:top="1100" w:right="1160" w:bottom="1380" w:left="1220" w:header="0" w:footer="1200" w:gutter="0"/>
          <w:cols w:space="720" w:num="1"/>
        </w:sectPr>
      </w:pPr>
    </w:p>
    <w:tbl>
      <w:tblPr>
        <w:tblStyle w:val="9"/>
        <w:tblW w:w="145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1"/>
        <w:gridCol w:w="477"/>
        <w:gridCol w:w="2485"/>
        <w:gridCol w:w="2327"/>
        <w:gridCol w:w="477"/>
        <w:gridCol w:w="2302"/>
        <w:gridCol w:w="1481"/>
        <w:gridCol w:w="1442"/>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trPr>
        <w:tc>
          <w:tcPr>
            <w:tcW w:w="14513"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12" w:name="支出决算表"/>
            <w:bookmarkEnd w:id="12"/>
            <w:bookmarkStart w:id="13" w:name="_bookmark6"/>
            <w:bookmarkEnd w:id="13"/>
            <w:bookmarkStart w:id="14" w:name="财政拨款收入支出决算总表"/>
            <w:bookmarkEnd w:id="14"/>
            <w:bookmarkStart w:id="15" w:name="_bookmark7"/>
            <w:bookmarkEnd w:id="15"/>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 w:hRule="atLeast"/>
        </w:trPr>
        <w:tc>
          <w:tcPr>
            <w:tcW w:w="2341" w:type="dxa"/>
            <w:shd w:val="clear" w:color="auto" w:fill="auto"/>
            <w:vAlign w:val="bottom"/>
          </w:tcPr>
          <w:p>
            <w:pPr>
              <w:rPr>
                <w:rFonts w:hint="eastAsia" w:ascii="Arial" w:hAnsi="Arial" w:cs="Arial"/>
                <w:i w:val="0"/>
                <w:color w:val="000000"/>
                <w:sz w:val="20"/>
                <w:szCs w:val="20"/>
                <w:u w:val="none"/>
              </w:rPr>
            </w:pPr>
          </w:p>
        </w:tc>
        <w:tc>
          <w:tcPr>
            <w:tcW w:w="477" w:type="dxa"/>
            <w:shd w:val="clear" w:color="auto" w:fill="auto"/>
            <w:vAlign w:val="bottom"/>
          </w:tcPr>
          <w:p>
            <w:pPr>
              <w:rPr>
                <w:rFonts w:hint="default" w:ascii="Arial" w:hAnsi="Arial" w:cs="Arial"/>
                <w:i w:val="0"/>
                <w:color w:val="000000"/>
                <w:sz w:val="20"/>
                <w:szCs w:val="20"/>
                <w:u w:val="none"/>
              </w:rPr>
            </w:pPr>
          </w:p>
        </w:tc>
        <w:tc>
          <w:tcPr>
            <w:tcW w:w="2485" w:type="dxa"/>
            <w:shd w:val="clear" w:color="auto" w:fill="auto"/>
            <w:vAlign w:val="bottom"/>
          </w:tcPr>
          <w:p>
            <w:pPr>
              <w:rPr>
                <w:rFonts w:hint="default" w:ascii="Arial" w:hAnsi="Arial" w:cs="Arial"/>
                <w:i w:val="0"/>
                <w:color w:val="000000"/>
                <w:sz w:val="20"/>
                <w:szCs w:val="20"/>
                <w:u w:val="none"/>
              </w:rPr>
            </w:pPr>
          </w:p>
        </w:tc>
        <w:tc>
          <w:tcPr>
            <w:tcW w:w="2327" w:type="dxa"/>
            <w:shd w:val="clear" w:color="auto" w:fill="auto"/>
            <w:vAlign w:val="bottom"/>
          </w:tcPr>
          <w:p>
            <w:pPr>
              <w:rPr>
                <w:rFonts w:hint="default" w:ascii="Arial" w:hAnsi="Arial" w:cs="Arial"/>
                <w:i w:val="0"/>
                <w:color w:val="000000"/>
                <w:sz w:val="20"/>
                <w:szCs w:val="20"/>
                <w:u w:val="none"/>
              </w:rPr>
            </w:pPr>
          </w:p>
        </w:tc>
        <w:tc>
          <w:tcPr>
            <w:tcW w:w="477" w:type="dxa"/>
            <w:shd w:val="clear" w:color="auto" w:fill="auto"/>
            <w:vAlign w:val="bottom"/>
          </w:tcPr>
          <w:p>
            <w:pPr>
              <w:rPr>
                <w:rFonts w:hint="default" w:ascii="Arial" w:hAnsi="Arial" w:cs="Arial"/>
                <w:i w:val="0"/>
                <w:color w:val="000000"/>
                <w:sz w:val="20"/>
                <w:szCs w:val="20"/>
                <w:u w:val="none"/>
              </w:rPr>
            </w:pPr>
          </w:p>
        </w:tc>
        <w:tc>
          <w:tcPr>
            <w:tcW w:w="2302" w:type="dxa"/>
            <w:shd w:val="clear" w:color="auto" w:fill="auto"/>
            <w:vAlign w:val="bottom"/>
          </w:tcPr>
          <w:p>
            <w:pPr>
              <w:rPr>
                <w:rFonts w:hint="default" w:ascii="Arial" w:hAnsi="Arial" w:cs="Arial"/>
                <w:i w:val="0"/>
                <w:color w:val="000000"/>
                <w:sz w:val="20"/>
                <w:szCs w:val="20"/>
                <w:u w:val="none"/>
              </w:rPr>
            </w:pPr>
          </w:p>
        </w:tc>
        <w:tc>
          <w:tcPr>
            <w:tcW w:w="1481" w:type="dxa"/>
            <w:shd w:val="clear" w:color="auto" w:fill="auto"/>
            <w:vAlign w:val="bottom"/>
          </w:tcPr>
          <w:p>
            <w:pPr>
              <w:rPr>
                <w:rFonts w:hint="default" w:ascii="Arial" w:hAnsi="Arial" w:cs="Arial"/>
                <w:i w:val="0"/>
                <w:color w:val="000000"/>
                <w:sz w:val="20"/>
                <w:szCs w:val="20"/>
                <w:u w:val="none"/>
              </w:rPr>
            </w:pPr>
          </w:p>
        </w:tc>
        <w:tc>
          <w:tcPr>
            <w:tcW w:w="1442" w:type="dxa"/>
            <w:shd w:val="clear" w:color="auto" w:fill="auto"/>
            <w:vAlign w:val="bottom"/>
          </w:tcPr>
          <w:p>
            <w:pPr>
              <w:rPr>
                <w:rFonts w:hint="default" w:ascii="Arial" w:hAnsi="Arial" w:cs="Arial"/>
                <w:i w:val="0"/>
                <w:color w:val="000000"/>
                <w:sz w:val="20"/>
                <w:szCs w:val="20"/>
                <w:u w:val="none"/>
              </w:rPr>
            </w:pPr>
          </w:p>
        </w:tc>
        <w:tc>
          <w:tcPr>
            <w:tcW w:w="118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atLeast"/>
        </w:trPr>
        <w:tc>
          <w:tcPr>
            <w:tcW w:w="2341"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477" w:type="dxa"/>
            <w:shd w:val="clear" w:color="auto" w:fill="auto"/>
            <w:vAlign w:val="bottom"/>
          </w:tcPr>
          <w:p>
            <w:pPr>
              <w:rPr>
                <w:rFonts w:hint="default" w:ascii="Arial" w:hAnsi="Arial" w:cs="Arial"/>
                <w:i w:val="0"/>
                <w:color w:val="000000"/>
                <w:sz w:val="20"/>
                <w:szCs w:val="20"/>
                <w:u w:val="none"/>
              </w:rPr>
            </w:pPr>
          </w:p>
        </w:tc>
        <w:tc>
          <w:tcPr>
            <w:tcW w:w="2485" w:type="dxa"/>
            <w:shd w:val="clear" w:color="auto" w:fill="auto"/>
            <w:vAlign w:val="bottom"/>
          </w:tcPr>
          <w:p>
            <w:pPr>
              <w:rPr>
                <w:rFonts w:hint="default" w:ascii="Arial" w:hAnsi="Arial" w:cs="Arial"/>
                <w:i w:val="0"/>
                <w:color w:val="000000"/>
                <w:sz w:val="20"/>
                <w:szCs w:val="20"/>
                <w:u w:val="none"/>
              </w:rPr>
            </w:pPr>
          </w:p>
        </w:tc>
        <w:tc>
          <w:tcPr>
            <w:tcW w:w="2327" w:type="dxa"/>
            <w:shd w:val="clear" w:color="auto" w:fill="auto"/>
            <w:vAlign w:val="bottom"/>
          </w:tcPr>
          <w:p>
            <w:pPr>
              <w:rPr>
                <w:rFonts w:hint="default" w:ascii="Arial" w:hAnsi="Arial" w:cs="Arial"/>
                <w:i w:val="0"/>
                <w:color w:val="000000"/>
                <w:sz w:val="20"/>
                <w:szCs w:val="20"/>
                <w:u w:val="none"/>
              </w:rPr>
            </w:pPr>
          </w:p>
        </w:tc>
        <w:tc>
          <w:tcPr>
            <w:tcW w:w="477" w:type="dxa"/>
            <w:shd w:val="clear" w:color="auto" w:fill="auto"/>
            <w:vAlign w:val="bottom"/>
          </w:tcPr>
          <w:p>
            <w:pPr>
              <w:rPr>
                <w:rFonts w:hint="default" w:ascii="Arial" w:hAnsi="Arial" w:cs="Arial"/>
                <w:i w:val="0"/>
                <w:color w:val="000000"/>
                <w:sz w:val="20"/>
                <w:szCs w:val="20"/>
                <w:u w:val="none"/>
              </w:rPr>
            </w:pPr>
          </w:p>
        </w:tc>
        <w:tc>
          <w:tcPr>
            <w:tcW w:w="2302" w:type="dxa"/>
            <w:shd w:val="clear" w:color="auto" w:fill="auto"/>
            <w:vAlign w:val="bottom"/>
          </w:tcPr>
          <w:p>
            <w:pPr>
              <w:rPr>
                <w:rFonts w:hint="default" w:ascii="Arial" w:hAnsi="Arial" w:cs="Arial"/>
                <w:i w:val="0"/>
                <w:color w:val="000000"/>
                <w:sz w:val="20"/>
                <w:szCs w:val="20"/>
                <w:u w:val="none"/>
              </w:rPr>
            </w:pPr>
          </w:p>
        </w:tc>
        <w:tc>
          <w:tcPr>
            <w:tcW w:w="1481" w:type="dxa"/>
            <w:shd w:val="clear" w:color="auto" w:fill="auto"/>
            <w:vAlign w:val="bottom"/>
          </w:tcPr>
          <w:p>
            <w:pPr>
              <w:rPr>
                <w:rFonts w:hint="default" w:ascii="Arial" w:hAnsi="Arial" w:cs="Arial"/>
                <w:i w:val="0"/>
                <w:color w:val="000000"/>
                <w:sz w:val="20"/>
                <w:szCs w:val="20"/>
                <w:u w:val="none"/>
              </w:rPr>
            </w:pPr>
          </w:p>
        </w:tc>
        <w:tc>
          <w:tcPr>
            <w:tcW w:w="1442" w:type="dxa"/>
            <w:shd w:val="clear" w:color="auto" w:fill="auto"/>
            <w:vAlign w:val="bottom"/>
          </w:tcPr>
          <w:p>
            <w:pPr>
              <w:rPr>
                <w:rFonts w:hint="default" w:ascii="Arial" w:hAnsi="Arial" w:cs="Arial"/>
                <w:i w:val="0"/>
                <w:color w:val="000000"/>
                <w:sz w:val="20"/>
                <w:szCs w:val="20"/>
                <w:u w:val="none"/>
              </w:rPr>
            </w:pPr>
          </w:p>
        </w:tc>
        <w:tc>
          <w:tcPr>
            <w:tcW w:w="118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3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210"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234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8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32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30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8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4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18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34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8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2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0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4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7"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7"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1,249.06</w:t>
            </w: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593.04</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593.04</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105.49</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105.49</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4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1,249.06</w:t>
            </w: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716.13</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716.13</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187.43</w:t>
            </w: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720.35</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720.35</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187.43</w:t>
            </w:r>
          </w:p>
        </w:tc>
        <w:tc>
          <w:tcPr>
            <w:tcW w:w="232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3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2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3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2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23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4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1,436.49</w:t>
            </w:r>
          </w:p>
        </w:tc>
        <w:tc>
          <w:tcPr>
            <w:tcW w:w="232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230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1,436.49</w:t>
            </w:r>
          </w:p>
        </w:tc>
        <w:tc>
          <w:tcPr>
            <w:tcW w:w="14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1,436.49</w:t>
            </w:r>
          </w:p>
        </w:tc>
        <w:tc>
          <w:tcPr>
            <w:tcW w:w="144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332"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181" w:type="dxa"/>
            <w:shd w:val="clear" w:color="auto" w:fill="auto"/>
            <w:vAlign w:val="center"/>
          </w:tcPr>
          <w:p>
            <w:pPr>
              <w:jc w:val="left"/>
              <w:rPr>
                <w:rFonts w:hint="eastAsia" w:ascii="宋体" w:hAnsi="宋体" w:eastAsia="宋体" w:cs="宋体"/>
                <w:i w:val="0"/>
                <w:color w:val="000000"/>
                <w:sz w:val="20"/>
                <w:szCs w:val="20"/>
                <w:u w:val="none"/>
              </w:rPr>
            </w:pPr>
          </w:p>
        </w:tc>
      </w:tr>
    </w:tbl>
    <w:p>
      <w:pPr>
        <w:rPr>
          <w:rFonts w:ascii="宋体"/>
          <w:sz w:val="20"/>
        </w:rPr>
      </w:pPr>
    </w:p>
    <w:p>
      <w:pPr>
        <w:pStyle w:val="4"/>
        <w:rPr>
          <w:rFonts w:ascii="宋体"/>
          <w:sz w:val="20"/>
        </w:rPr>
      </w:pPr>
    </w:p>
    <w:p>
      <w:pPr>
        <w:pStyle w:val="4"/>
        <w:spacing w:before="9"/>
        <w:rPr>
          <w:rFonts w:ascii="宋体"/>
          <w:sz w:val="26"/>
        </w:rPr>
      </w:pPr>
    </w:p>
    <w:tbl>
      <w:tblPr>
        <w:tblStyle w:val="9"/>
        <w:tblW w:w="144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58"/>
        <w:gridCol w:w="438"/>
        <w:gridCol w:w="240"/>
        <w:gridCol w:w="3013"/>
        <w:gridCol w:w="210"/>
        <w:gridCol w:w="2250"/>
        <w:gridCol w:w="3013"/>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0" w:hRule="atLeast"/>
        </w:trPr>
        <w:tc>
          <w:tcPr>
            <w:tcW w:w="14422" w:type="dxa"/>
            <w:gridSpan w:val="8"/>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2696" w:type="dxa"/>
            <w:gridSpan w:val="2"/>
            <w:shd w:val="clear" w:color="auto" w:fill="auto"/>
            <w:vAlign w:val="bottom"/>
          </w:tcPr>
          <w:p>
            <w:pPr>
              <w:rPr>
                <w:rFonts w:hint="eastAsia"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3013" w:type="dxa"/>
            <w:shd w:val="clear" w:color="auto" w:fill="auto"/>
            <w:vAlign w:val="bottom"/>
          </w:tcPr>
          <w:p>
            <w:pPr>
              <w:rPr>
                <w:rFonts w:hint="default" w:ascii="Arial" w:hAnsi="Arial" w:cs="Arial"/>
                <w:i w:val="0"/>
                <w:color w:val="000000"/>
                <w:sz w:val="20"/>
                <w:szCs w:val="20"/>
                <w:u w:val="none"/>
              </w:rPr>
            </w:pPr>
          </w:p>
        </w:tc>
        <w:tc>
          <w:tcPr>
            <w:tcW w:w="8473" w:type="dxa"/>
            <w:gridSpan w:val="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2696" w:type="dxa"/>
            <w:gridSpan w:val="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240" w:type="dxa"/>
            <w:shd w:val="clear" w:color="auto" w:fill="auto"/>
            <w:vAlign w:val="bottom"/>
          </w:tcPr>
          <w:p>
            <w:pPr>
              <w:rPr>
                <w:rFonts w:hint="default" w:ascii="Arial" w:hAnsi="Arial" w:cs="Arial"/>
                <w:i w:val="0"/>
                <w:color w:val="000000"/>
                <w:sz w:val="20"/>
                <w:szCs w:val="20"/>
                <w:u w:val="none"/>
              </w:rPr>
            </w:pPr>
          </w:p>
        </w:tc>
        <w:tc>
          <w:tcPr>
            <w:tcW w:w="3013" w:type="dxa"/>
            <w:shd w:val="clear" w:color="auto" w:fill="auto"/>
            <w:vAlign w:val="bottom"/>
          </w:tcPr>
          <w:p>
            <w:pPr>
              <w:rPr>
                <w:rFonts w:hint="default" w:ascii="Arial" w:hAnsi="Arial" w:cs="Arial"/>
                <w:i w:val="0"/>
                <w:color w:val="000000"/>
                <w:sz w:val="20"/>
                <w:szCs w:val="20"/>
                <w:u w:val="none"/>
              </w:rPr>
            </w:pPr>
          </w:p>
        </w:tc>
        <w:tc>
          <w:tcPr>
            <w:tcW w:w="8473" w:type="dxa"/>
            <w:gridSpan w:val="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61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263"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5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01" w:type="dxa"/>
            <w:gridSpan w:val="4"/>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01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00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22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01" w:type="dxa"/>
            <w:gridSpan w:val="4"/>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1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01" w:type="dxa"/>
            <w:gridSpan w:val="4"/>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1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6159"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6159"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716.13</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451.29</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593.04</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328.20</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21507</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国有资产监管</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593.04</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328.20</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2150799</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其他国有资产监管支出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593.04</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328.20</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105.49</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105.49</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105.49</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105.49</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62.56</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62.56</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2210202</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90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225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37.93</w:t>
            </w:r>
          </w:p>
        </w:tc>
        <w:tc>
          <w:tcPr>
            <w:tcW w:w="30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37.93</w:t>
            </w:r>
          </w:p>
        </w:tc>
        <w:tc>
          <w:tcPr>
            <w:tcW w:w="300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4422"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tabs>
          <w:tab w:val="left" w:pos="12745"/>
        </w:tabs>
        <w:spacing w:before="84" w:after="11"/>
        <w:rPr>
          <w:rFonts w:ascii="宋体" w:eastAsia="宋体"/>
        </w:rPr>
      </w:pPr>
    </w:p>
    <w:p>
      <w:pPr>
        <w:tabs>
          <w:tab w:val="left" w:pos="12745"/>
        </w:tabs>
        <w:spacing w:before="84" w:after="11"/>
        <w:rPr>
          <w:rFonts w:ascii="宋体" w:eastAsia="宋体"/>
        </w:rPr>
      </w:pPr>
    </w:p>
    <w:p>
      <w:pPr>
        <w:tabs>
          <w:tab w:val="left" w:pos="12745"/>
        </w:tabs>
        <w:spacing w:before="84" w:after="11"/>
        <w:rPr>
          <w:rFonts w:ascii="宋体" w:eastAsia="宋体"/>
        </w:rPr>
      </w:pPr>
    </w:p>
    <w:p>
      <w:pPr>
        <w:tabs>
          <w:tab w:val="left" w:pos="12745"/>
        </w:tabs>
        <w:spacing w:before="84" w:after="11"/>
        <w:rPr>
          <w:rFonts w:ascii="宋体" w:eastAsia="宋体"/>
        </w:rPr>
      </w:pPr>
    </w:p>
    <w:tbl>
      <w:tblPr>
        <w:tblStyle w:val="9"/>
        <w:tblW w:w="15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0"/>
        <w:gridCol w:w="3341"/>
        <w:gridCol w:w="1291"/>
        <w:gridCol w:w="770"/>
        <w:gridCol w:w="2161"/>
        <w:gridCol w:w="1591"/>
        <w:gridCol w:w="770"/>
        <w:gridCol w:w="2941"/>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0" w:hRule="atLeast"/>
        </w:trPr>
        <w:tc>
          <w:tcPr>
            <w:tcW w:w="15240"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1" w:hRule="atLeast"/>
        </w:trPr>
        <w:tc>
          <w:tcPr>
            <w:tcW w:w="770" w:type="dxa"/>
            <w:shd w:val="clear" w:color="auto" w:fill="auto"/>
            <w:vAlign w:val="bottom"/>
          </w:tcPr>
          <w:p>
            <w:pPr>
              <w:rPr>
                <w:rFonts w:hint="eastAsia" w:ascii="Arial" w:hAnsi="Arial" w:cs="Arial"/>
                <w:i w:val="0"/>
                <w:color w:val="000000"/>
                <w:sz w:val="20"/>
                <w:szCs w:val="20"/>
                <w:u w:val="none"/>
              </w:rPr>
            </w:pPr>
          </w:p>
        </w:tc>
        <w:tc>
          <w:tcPr>
            <w:tcW w:w="3341" w:type="dxa"/>
            <w:shd w:val="clear" w:color="auto" w:fill="auto"/>
            <w:vAlign w:val="bottom"/>
          </w:tcPr>
          <w:p>
            <w:pPr>
              <w:rPr>
                <w:rFonts w:hint="default" w:ascii="Arial" w:hAnsi="Arial" w:cs="Arial"/>
                <w:i w:val="0"/>
                <w:color w:val="000000"/>
                <w:sz w:val="20"/>
                <w:szCs w:val="20"/>
                <w:u w:val="none"/>
              </w:rPr>
            </w:pPr>
          </w:p>
        </w:tc>
        <w:tc>
          <w:tcPr>
            <w:tcW w:w="1291" w:type="dxa"/>
            <w:shd w:val="clear" w:color="auto" w:fill="auto"/>
            <w:vAlign w:val="bottom"/>
          </w:tcPr>
          <w:p>
            <w:pPr>
              <w:rPr>
                <w:rFonts w:hint="default" w:ascii="Arial" w:hAnsi="Arial" w:cs="Arial"/>
                <w:i w:val="0"/>
                <w:color w:val="000000"/>
                <w:sz w:val="20"/>
                <w:szCs w:val="20"/>
                <w:u w:val="none"/>
              </w:rPr>
            </w:pPr>
          </w:p>
        </w:tc>
        <w:tc>
          <w:tcPr>
            <w:tcW w:w="770" w:type="dxa"/>
            <w:shd w:val="clear" w:color="auto" w:fill="auto"/>
            <w:vAlign w:val="bottom"/>
          </w:tcPr>
          <w:p>
            <w:pPr>
              <w:rPr>
                <w:rFonts w:hint="default" w:ascii="Arial" w:hAnsi="Arial" w:cs="Arial"/>
                <w:i w:val="0"/>
                <w:color w:val="000000"/>
                <w:sz w:val="20"/>
                <w:szCs w:val="20"/>
                <w:u w:val="none"/>
              </w:rPr>
            </w:pPr>
          </w:p>
        </w:tc>
        <w:tc>
          <w:tcPr>
            <w:tcW w:w="2161" w:type="dxa"/>
            <w:shd w:val="clear" w:color="auto" w:fill="auto"/>
            <w:vAlign w:val="bottom"/>
          </w:tcPr>
          <w:p>
            <w:pPr>
              <w:rPr>
                <w:rFonts w:hint="default" w:ascii="Arial" w:hAnsi="Arial" w:cs="Arial"/>
                <w:i w:val="0"/>
                <w:color w:val="000000"/>
                <w:sz w:val="20"/>
                <w:szCs w:val="20"/>
                <w:u w:val="none"/>
              </w:rPr>
            </w:pPr>
          </w:p>
        </w:tc>
        <w:tc>
          <w:tcPr>
            <w:tcW w:w="1591" w:type="dxa"/>
            <w:shd w:val="clear" w:color="auto" w:fill="auto"/>
            <w:vAlign w:val="bottom"/>
          </w:tcPr>
          <w:p>
            <w:pPr>
              <w:rPr>
                <w:rFonts w:hint="default" w:ascii="Arial" w:hAnsi="Arial" w:cs="Arial"/>
                <w:i w:val="0"/>
                <w:color w:val="000000"/>
                <w:sz w:val="20"/>
                <w:szCs w:val="20"/>
                <w:u w:val="none"/>
              </w:rPr>
            </w:pPr>
          </w:p>
        </w:tc>
        <w:tc>
          <w:tcPr>
            <w:tcW w:w="770" w:type="dxa"/>
            <w:shd w:val="clear" w:color="auto" w:fill="auto"/>
            <w:vAlign w:val="bottom"/>
          </w:tcPr>
          <w:p>
            <w:pPr>
              <w:rPr>
                <w:rFonts w:hint="default" w:ascii="Arial" w:hAnsi="Arial" w:cs="Arial"/>
                <w:i w:val="0"/>
                <w:color w:val="000000"/>
                <w:sz w:val="20"/>
                <w:szCs w:val="20"/>
                <w:u w:val="none"/>
              </w:rPr>
            </w:pPr>
          </w:p>
        </w:tc>
        <w:tc>
          <w:tcPr>
            <w:tcW w:w="2941" w:type="dxa"/>
            <w:shd w:val="clear" w:color="auto" w:fill="auto"/>
            <w:vAlign w:val="bottom"/>
          </w:tcPr>
          <w:p>
            <w:pPr>
              <w:rPr>
                <w:rFonts w:hint="default" w:ascii="Arial" w:hAnsi="Arial" w:cs="Arial"/>
                <w:i w:val="0"/>
                <w:color w:val="000000"/>
                <w:sz w:val="20"/>
                <w:szCs w:val="20"/>
                <w:u w:val="none"/>
              </w:rPr>
            </w:pPr>
          </w:p>
        </w:tc>
        <w:tc>
          <w:tcPr>
            <w:tcW w:w="160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770"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3341" w:type="dxa"/>
            <w:shd w:val="clear" w:color="auto" w:fill="auto"/>
            <w:vAlign w:val="bottom"/>
          </w:tcPr>
          <w:p>
            <w:pPr>
              <w:rPr>
                <w:rFonts w:hint="default" w:ascii="Arial" w:hAnsi="Arial" w:cs="Arial"/>
                <w:i w:val="0"/>
                <w:color w:val="000000"/>
                <w:sz w:val="20"/>
                <w:szCs w:val="20"/>
                <w:u w:val="none"/>
              </w:rPr>
            </w:pPr>
          </w:p>
        </w:tc>
        <w:tc>
          <w:tcPr>
            <w:tcW w:w="1291" w:type="dxa"/>
            <w:shd w:val="clear" w:color="auto" w:fill="auto"/>
            <w:vAlign w:val="bottom"/>
          </w:tcPr>
          <w:p>
            <w:pPr>
              <w:rPr>
                <w:rFonts w:hint="default" w:ascii="Arial" w:hAnsi="Arial" w:cs="Arial"/>
                <w:i w:val="0"/>
                <w:color w:val="000000"/>
                <w:sz w:val="20"/>
                <w:szCs w:val="20"/>
                <w:u w:val="none"/>
              </w:rPr>
            </w:pPr>
          </w:p>
        </w:tc>
        <w:tc>
          <w:tcPr>
            <w:tcW w:w="770" w:type="dxa"/>
            <w:shd w:val="clear" w:color="auto" w:fill="auto"/>
            <w:vAlign w:val="bottom"/>
          </w:tcPr>
          <w:p>
            <w:pPr>
              <w:rPr>
                <w:rFonts w:hint="default" w:ascii="Arial" w:hAnsi="Arial" w:cs="Arial"/>
                <w:i w:val="0"/>
                <w:color w:val="000000"/>
                <w:sz w:val="20"/>
                <w:szCs w:val="20"/>
                <w:u w:val="none"/>
              </w:rPr>
            </w:pPr>
          </w:p>
        </w:tc>
        <w:tc>
          <w:tcPr>
            <w:tcW w:w="2161" w:type="dxa"/>
            <w:shd w:val="clear" w:color="auto" w:fill="auto"/>
            <w:vAlign w:val="bottom"/>
          </w:tcPr>
          <w:p>
            <w:pPr>
              <w:rPr>
                <w:rFonts w:hint="default" w:ascii="Arial" w:hAnsi="Arial" w:cs="Arial"/>
                <w:i w:val="0"/>
                <w:color w:val="000000"/>
                <w:sz w:val="20"/>
                <w:szCs w:val="20"/>
                <w:u w:val="none"/>
              </w:rPr>
            </w:pPr>
          </w:p>
        </w:tc>
        <w:tc>
          <w:tcPr>
            <w:tcW w:w="1591" w:type="dxa"/>
            <w:shd w:val="clear" w:color="auto" w:fill="auto"/>
            <w:vAlign w:val="bottom"/>
          </w:tcPr>
          <w:p>
            <w:pPr>
              <w:rPr>
                <w:rFonts w:hint="default" w:ascii="Arial" w:hAnsi="Arial" w:cs="Arial"/>
                <w:i w:val="0"/>
                <w:color w:val="000000"/>
                <w:sz w:val="20"/>
                <w:szCs w:val="20"/>
                <w:u w:val="none"/>
              </w:rPr>
            </w:pPr>
          </w:p>
        </w:tc>
        <w:tc>
          <w:tcPr>
            <w:tcW w:w="770" w:type="dxa"/>
            <w:shd w:val="clear" w:color="auto" w:fill="auto"/>
            <w:vAlign w:val="bottom"/>
          </w:tcPr>
          <w:p>
            <w:pPr>
              <w:rPr>
                <w:rFonts w:hint="default" w:ascii="Arial" w:hAnsi="Arial" w:cs="Arial"/>
                <w:i w:val="0"/>
                <w:color w:val="000000"/>
                <w:sz w:val="20"/>
                <w:szCs w:val="20"/>
                <w:u w:val="none"/>
              </w:rPr>
            </w:pPr>
          </w:p>
        </w:tc>
        <w:tc>
          <w:tcPr>
            <w:tcW w:w="2941" w:type="dxa"/>
            <w:shd w:val="clear" w:color="auto" w:fill="auto"/>
            <w:vAlign w:val="bottom"/>
          </w:tcPr>
          <w:p>
            <w:pPr>
              <w:rPr>
                <w:rFonts w:hint="default" w:ascii="Arial" w:hAnsi="Arial" w:cs="Arial"/>
                <w:i w:val="0"/>
                <w:color w:val="000000"/>
                <w:sz w:val="20"/>
                <w:szCs w:val="20"/>
                <w:u w:val="none"/>
              </w:rPr>
            </w:pPr>
          </w:p>
        </w:tc>
        <w:tc>
          <w:tcPr>
            <w:tcW w:w="160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4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838"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77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34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9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7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16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9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7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94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0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77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4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9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9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4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0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394.39</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43.97</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175.48</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138.74</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39.43</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62.56</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9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34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4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7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34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29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16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7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4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0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411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395.79</w:t>
            </w:r>
          </w:p>
        </w:tc>
        <w:tc>
          <w:tcPr>
            <w:tcW w:w="8233"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6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240"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spacing w:before="1"/>
        <w:rPr>
          <w:rFonts w:ascii="宋体"/>
          <w:sz w:val="24"/>
        </w:rPr>
      </w:pPr>
    </w:p>
    <w:p>
      <w:pPr>
        <w:rPr>
          <w:rFonts w:ascii="宋体"/>
          <w:sz w:val="24"/>
        </w:rPr>
        <w:sectPr>
          <w:footerReference r:id="rId7" w:type="default"/>
          <w:pgSz w:w="16840" w:h="11910" w:orient="landscape"/>
          <w:pgMar w:top="1100" w:right="1160" w:bottom="1380" w:left="1220" w:header="0" w:footer="1199" w:gutter="0"/>
          <w:cols w:space="720" w:num="1"/>
        </w:sectPr>
      </w:pPr>
    </w:p>
    <w:tbl>
      <w:tblPr>
        <w:tblStyle w:val="9"/>
        <w:tblW w:w="143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56"/>
        <w:gridCol w:w="63"/>
        <w:gridCol w:w="240"/>
        <w:gridCol w:w="1078"/>
        <w:gridCol w:w="1751"/>
        <w:gridCol w:w="1341"/>
        <w:gridCol w:w="1616"/>
        <w:gridCol w:w="1402"/>
        <w:gridCol w:w="1455"/>
        <w:gridCol w:w="3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trPr>
        <w:tc>
          <w:tcPr>
            <w:tcW w:w="14358"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16" w:name="_bookmark10"/>
            <w:bookmarkEnd w:id="16"/>
            <w:bookmarkStart w:id="17" w:name="一般公共预算财政拨款“三公”经费支出决算表"/>
            <w:bookmarkEnd w:id="17"/>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2319" w:type="dxa"/>
            <w:gridSpan w:val="2"/>
            <w:shd w:val="clear" w:color="auto" w:fill="auto"/>
            <w:vAlign w:val="bottom"/>
          </w:tcPr>
          <w:p>
            <w:pPr>
              <w:rPr>
                <w:rFonts w:hint="eastAsia"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11799" w:type="dxa"/>
            <w:gridSpan w:val="7"/>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 w:hRule="atLeast"/>
        </w:trPr>
        <w:tc>
          <w:tcPr>
            <w:tcW w:w="2319" w:type="dxa"/>
            <w:gridSpan w:val="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240" w:type="dxa"/>
            <w:shd w:val="clear" w:color="auto" w:fill="auto"/>
            <w:vAlign w:val="bottom"/>
          </w:tcPr>
          <w:p>
            <w:pPr>
              <w:rPr>
                <w:rFonts w:hint="default" w:ascii="Arial" w:hAnsi="Arial" w:cs="Arial"/>
                <w:i w:val="0"/>
                <w:color w:val="000000"/>
                <w:sz w:val="20"/>
                <w:szCs w:val="20"/>
                <w:u w:val="none"/>
              </w:rPr>
            </w:pPr>
          </w:p>
        </w:tc>
        <w:tc>
          <w:tcPr>
            <w:tcW w:w="11799" w:type="dxa"/>
            <w:gridSpan w:val="7"/>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5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34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473"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3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381" w:type="dxa"/>
            <w:gridSpan w:val="3"/>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4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1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0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5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156"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1" w:type="dxa"/>
            <w:gridSpan w:val="3"/>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4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1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0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5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56"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81" w:type="dxa"/>
            <w:gridSpan w:val="3"/>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4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1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0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5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156"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37"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5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1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0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5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37"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34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6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4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4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315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6"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1"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4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15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6"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1"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4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15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6"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1"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4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15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6"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1"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4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15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6"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1"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4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15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6"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81"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4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0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5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15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358"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20"/>
        </w:rPr>
      </w:pPr>
    </w:p>
    <w:p>
      <w:pPr>
        <w:pStyle w:val="4"/>
        <w:rPr>
          <w:rFonts w:ascii="宋体"/>
          <w:sz w:val="19"/>
        </w:rPr>
      </w:pPr>
    </w:p>
    <w:p>
      <w:pPr>
        <w:rPr>
          <w:rFonts w:ascii="宋体"/>
          <w:sz w:val="19"/>
        </w:rPr>
        <w:sectPr>
          <w:footerReference r:id="rId8" w:type="default"/>
          <w:pgSz w:w="16840" w:h="11910" w:orient="landscape"/>
          <w:pgMar w:top="1100" w:right="1160" w:bottom="1380" w:left="1220" w:header="0" w:footer="1199" w:gutter="0"/>
          <w:cols w:space="720" w:num="1"/>
        </w:sectPr>
      </w:pPr>
    </w:p>
    <w:tbl>
      <w:tblPr>
        <w:tblStyle w:val="9"/>
        <w:tblW w:w="143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58"/>
        <w:gridCol w:w="1411"/>
        <w:gridCol w:w="2700"/>
        <w:gridCol w:w="1761"/>
        <w:gridCol w:w="2630"/>
        <w:gridCol w:w="3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 w:hRule="atLeast"/>
        </w:trPr>
        <w:tc>
          <w:tcPr>
            <w:tcW w:w="14358" w:type="dxa"/>
            <w:gridSpan w:val="6"/>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bookmarkStart w:id="18" w:name="_bookmark11"/>
            <w:bookmarkEnd w:id="18"/>
            <w:bookmarkStart w:id="19" w:name="政府性基金预算财政拨款收入支出决算表"/>
            <w:bookmarkEnd w:id="19"/>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3669" w:type="dxa"/>
            <w:gridSpan w:val="2"/>
            <w:shd w:val="clear" w:color="auto" w:fill="auto"/>
            <w:vAlign w:val="bottom"/>
          </w:tcPr>
          <w:p>
            <w:pPr>
              <w:rPr>
                <w:rFonts w:hint="eastAsia" w:ascii="Arial" w:hAnsi="Arial" w:cs="Arial"/>
                <w:i w:val="0"/>
                <w:color w:val="000000"/>
                <w:sz w:val="20"/>
                <w:szCs w:val="20"/>
                <w:u w:val="none"/>
              </w:rPr>
            </w:pPr>
          </w:p>
        </w:tc>
        <w:tc>
          <w:tcPr>
            <w:tcW w:w="10689" w:type="dxa"/>
            <w:gridSpan w:val="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 w:hRule="atLeast"/>
        </w:trPr>
        <w:tc>
          <w:tcPr>
            <w:tcW w:w="3669" w:type="dxa"/>
            <w:gridSpan w:val="2"/>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10689" w:type="dxa"/>
            <w:gridSpan w:val="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3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989"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8"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4111"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6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3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59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11" w:type="dxa"/>
            <w:gridSpan w:val="2"/>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3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59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5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11" w:type="dxa"/>
            <w:gridSpan w:val="2"/>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3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59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36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3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5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36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263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359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111" w:type="dxa"/>
            <w:gridSpan w:val="2"/>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59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111" w:type="dxa"/>
            <w:gridSpan w:val="2"/>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59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111" w:type="dxa"/>
            <w:gridSpan w:val="2"/>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59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111" w:type="dxa"/>
            <w:gridSpan w:val="2"/>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59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111" w:type="dxa"/>
            <w:gridSpan w:val="2"/>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59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5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111" w:type="dxa"/>
            <w:gridSpan w:val="2"/>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63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59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4358"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pStyle w:val="4"/>
        <w:rPr>
          <w:rFonts w:ascii="宋体"/>
          <w:sz w:val="20"/>
        </w:rPr>
      </w:pPr>
    </w:p>
    <w:p>
      <w:pPr>
        <w:pStyle w:val="4"/>
        <w:spacing w:before="11"/>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sectPr>
          <w:pgSz w:w="16840" w:h="11910" w:orient="landscape"/>
          <w:pgMar w:top="1100" w:right="1160" w:bottom="1380" w:left="1220" w:header="0" w:footer="1199" w:gutter="0"/>
          <w:cols w:space="720" w:num="1"/>
        </w:sectPr>
      </w:pPr>
    </w:p>
    <w:tbl>
      <w:tblPr>
        <w:tblStyle w:val="9"/>
        <w:tblW w:w="14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77"/>
        <w:gridCol w:w="982"/>
        <w:gridCol w:w="627"/>
        <w:gridCol w:w="1060"/>
        <w:gridCol w:w="997"/>
        <w:gridCol w:w="454"/>
        <w:gridCol w:w="741"/>
        <w:gridCol w:w="836"/>
        <w:gridCol w:w="1087"/>
        <w:gridCol w:w="757"/>
        <w:gridCol w:w="1135"/>
        <w:gridCol w:w="896"/>
        <w:gridCol w:w="2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trPr>
        <w:tc>
          <w:tcPr>
            <w:tcW w:w="14500" w:type="dxa"/>
            <w:gridSpan w:val="13"/>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bookmarkStart w:id="20" w:name="_bookmark12"/>
            <w:bookmarkEnd w:id="20"/>
            <w:bookmarkStart w:id="21" w:name="国有资本经营预算财政拨款支出决算表"/>
            <w:bookmarkEnd w:id="21"/>
            <w:r>
              <w:rPr>
                <w:rFonts w:hint="eastAsia" w:ascii="宋体" w:hAnsi="宋体" w:eastAsia="宋体" w:cs="宋体"/>
                <w:i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2177" w:type="dxa"/>
            <w:shd w:val="clear" w:color="auto" w:fill="auto"/>
            <w:vAlign w:val="bottom"/>
          </w:tcPr>
          <w:p>
            <w:pPr>
              <w:rPr>
                <w:rFonts w:hint="eastAsia" w:ascii="Arial" w:hAnsi="Arial" w:cs="Arial"/>
                <w:i w:val="0"/>
                <w:color w:val="000000"/>
                <w:sz w:val="20"/>
                <w:szCs w:val="20"/>
                <w:u w:val="none"/>
              </w:rPr>
            </w:pPr>
          </w:p>
        </w:tc>
        <w:tc>
          <w:tcPr>
            <w:tcW w:w="12323" w:type="dxa"/>
            <w:gridSpan w:val="1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 w:hRule="atLeast"/>
        </w:trPr>
        <w:tc>
          <w:tcPr>
            <w:tcW w:w="2177"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部门：国资委研究中心</w:t>
            </w:r>
          </w:p>
        </w:tc>
        <w:tc>
          <w:tcPr>
            <w:tcW w:w="12323" w:type="dxa"/>
            <w:gridSpan w:val="1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97" w:type="dxa"/>
            <w:gridSpan w:val="6"/>
            <w:tcBorders>
              <w:top w:val="single" w:color="000000" w:sz="4" w:space="0"/>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8203" w:type="dxa"/>
            <w:gridSpan w:val="7"/>
            <w:tcBorders>
              <w:top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77" w:type="dxa"/>
            <w:vMerge w:val="restart"/>
            <w:tcBorders>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82"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684" w:type="dxa"/>
            <w:gridSpan w:val="3"/>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195" w:type="dxa"/>
            <w:gridSpan w:val="2"/>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836"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7"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788" w:type="dxa"/>
            <w:gridSpan w:val="3"/>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2751"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trPr>
        <w:tc>
          <w:tcPr>
            <w:tcW w:w="2177" w:type="dxa"/>
            <w:vMerge w:val="continue"/>
            <w:tcBorders>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982"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62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60"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9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195"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836"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087"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5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35"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96"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2751"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77" w:type="dxa"/>
            <w:tcBorders>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82"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2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0"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9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5" w:type="dxa"/>
            <w:gridSpan w:val="2"/>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36"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5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35"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6"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751"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177"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8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2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6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9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8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9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trPr>
        <w:tc>
          <w:tcPr>
            <w:tcW w:w="14500" w:type="dxa"/>
            <w:gridSpan w:val="1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rPr>
          <w:rFonts w:ascii="宋体" w:eastAsia="宋体"/>
          <w:sz w:val="20"/>
        </w:rPr>
        <w:sectPr>
          <w:type w:val="continuous"/>
          <w:pgSz w:w="16840" w:h="11910" w:orient="landscape"/>
          <w:pgMar w:top="1580" w:right="1160" w:bottom="280" w:left="1220" w:header="720" w:footer="720" w:gutter="0"/>
          <w:cols w:space="720" w:num="1"/>
        </w:sectPr>
      </w:pPr>
    </w:p>
    <w:p>
      <w:pPr>
        <w:pStyle w:val="3"/>
        <w:keepNext w:val="0"/>
        <w:keepLines w:val="0"/>
        <w:pageBreakBefore w:val="0"/>
        <w:widowControl w:val="0"/>
        <w:kinsoku/>
        <w:wordWrap/>
        <w:overflowPunct/>
        <w:topLinePunct w:val="0"/>
        <w:autoSpaceDE w:val="0"/>
        <w:autoSpaceDN w:val="0"/>
        <w:bidi w:val="0"/>
        <w:adjustRightInd/>
        <w:snapToGrid/>
        <w:spacing w:before="44" w:line="640" w:lineRule="exact"/>
        <w:ind w:left="763"/>
        <w:textAlignment w:val="auto"/>
        <w:rPr>
          <w:rFonts w:ascii="黑体" w:eastAsia="黑体"/>
        </w:rPr>
      </w:pPr>
      <w:bookmarkStart w:id="22" w:name="_bookmark13"/>
      <w:bookmarkEnd w:id="22"/>
      <w:bookmarkStart w:id="23" w:name="三、国家卫生健康委2020年度部门决算说明"/>
      <w:bookmarkEnd w:id="23"/>
      <w:r>
        <w:rPr>
          <w:rFonts w:hint="eastAsia" w:ascii="黑体" w:eastAsia="黑体"/>
        </w:rPr>
        <w:t xml:space="preserve">三、国资委研究中心 </w:t>
      </w:r>
      <w:r>
        <w:rPr>
          <w:rFonts w:hint="eastAsia" w:ascii="Times New Roman"/>
          <w:lang w:eastAsia="zh-CN"/>
        </w:rPr>
        <w:t>202</w:t>
      </w:r>
      <w:r>
        <w:rPr>
          <w:rFonts w:hint="eastAsia" w:ascii="Times New Roman"/>
          <w:lang w:val="en-US" w:eastAsia="zh-CN"/>
        </w:rPr>
        <w:t>2</w:t>
      </w:r>
      <w:r>
        <w:rPr>
          <w:rFonts w:ascii="Times New Roman" w:eastAsia="Times New Roman"/>
        </w:rPr>
        <w:t xml:space="preserve"> </w:t>
      </w:r>
      <w:r>
        <w:rPr>
          <w:rFonts w:hint="eastAsia" w:ascii="黑体" w:eastAsia="黑体"/>
        </w:rPr>
        <w:t>年度部门决算说明</w:t>
      </w:r>
    </w:p>
    <w:p>
      <w:pPr>
        <w:pStyle w:val="3"/>
        <w:keepNext w:val="0"/>
        <w:keepLines w:val="0"/>
        <w:pageBreakBefore w:val="0"/>
        <w:widowControl w:val="0"/>
        <w:kinsoku/>
        <w:wordWrap/>
        <w:overflowPunct/>
        <w:topLinePunct w:val="0"/>
        <w:autoSpaceDE w:val="0"/>
        <w:autoSpaceDN w:val="0"/>
        <w:bidi w:val="0"/>
        <w:adjustRightInd/>
        <w:snapToGrid/>
        <w:spacing w:before="212" w:line="640" w:lineRule="exact"/>
        <w:ind w:left="763"/>
        <w:textAlignment w:val="auto"/>
        <w:rPr>
          <w:rFonts w:ascii="楷体" w:eastAsia="楷体"/>
        </w:rPr>
      </w:pPr>
      <w:bookmarkStart w:id="24" w:name="（一）收支总体情况说明。"/>
      <w:bookmarkEnd w:id="24"/>
      <w:bookmarkStart w:id="25" w:name="_bookmark14"/>
      <w:bookmarkEnd w:id="25"/>
      <w:r>
        <w:rPr>
          <w:rFonts w:hint="eastAsia" w:ascii="楷体" w:eastAsia="楷体"/>
        </w:rPr>
        <w:t>（一）收支总体情况说明。</w:t>
      </w:r>
    </w:p>
    <w:p>
      <w:pPr>
        <w:keepNext w:val="0"/>
        <w:keepLines w:val="0"/>
        <w:pageBreakBefore w:val="0"/>
        <w:widowControl w:val="0"/>
        <w:kinsoku/>
        <w:wordWrap/>
        <w:overflowPunct/>
        <w:topLinePunct w:val="0"/>
        <w:autoSpaceDE w:val="0"/>
        <w:autoSpaceDN w:val="0"/>
        <w:bidi w:val="0"/>
        <w:adjustRightInd/>
        <w:snapToGrid/>
        <w:spacing w:before="211" w:line="640" w:lineRule="exact"/>
        <w:ind w:left="763"/>
        <w:textAlignment w:val="auto"/>
        <w:rPr>
          <w:b/>
          <w:sz w:val="32"/>
        </w:rPr>
      </w:pPr>
      <w:r>
        <w:rPr>
          <w:rFonts w:ascii="Times New Roman" w:eastAsia="Times New Roman"/>
          <w:b/>
          <w:sz w:val="32"/>
        </w:rPr>
        <w:t>1</w:t>
      </w:r>
      <w:r>
        <w:rPr>
          <w:rFonts w:ascii="Times New Roman" w:eastAsia="Times New Roman"/>
          <w:b/>
          <w:spacing w:val="39"/>
          <w:sz w:val="32"/>
        </w:rPr>
        <w:t>.</w:t>
      </w:r>
      <w:r>
        <w:rPr>
          <w:rFonts w:hint="eastAsia" w:ascii="仿宋" w:hAnsi="仿宋" w:eastAsia="仿宋" w:cs="仿宋"/>
          <w:b/>
          <w:spacing w:val="-7"/>
          <w:sz w:val="32"/>
          <w:szCs w:val="32"/>
          <w:lang w:val="zh-CN" w:eastAsia="zh-CN" w:bidi="zh-CN"/>
        </w:rPr>
        <w:t xml:space="preserve"> 收入</w:t>
      </w:r>
      <w:r>
        <w:rPr>
          <w:rFonts w:hint="eastAsia" w:ascii="仿宋" w:hAnsi="仿宋" w:eastAsia="仿宋" w:cs="仿宋"/>
          <w:b/>
          <w:spacing w:val="-7"/>
          <w:sz w:val="32"/>
          <w:szCs w:val="32"/>
          <w:lang w:val="en-US" w:eastAsia="zh-CN" w:bidi="zh-CN"/>
        </w:rPr>
        <w:t>总计</w:t>
      </w:r>
      <w:r>
        <w:rPr>
          <w:rFonts w:hint="eastAsia" w:cs="仿宋"/>
          <w:b/>
          <w:spacing w:val="-7"/>
          <w:sz w:val="32"/>
          <w:szCs w:val="32"/>
          <w:lang w:val="en-US" w:eastAsia="zh-CN" w:bidi="zh-CN"/>
        </w:rPr>
        <w:t>2113.58</w:t>
      </w:r>
      <w:r>
        <w:rPr>
          <w:rFonts w:hint="eastAsia" w:ascii="仿宋" w:hAnsi="仿宋" w:eastAsia="仿宋" w:cs="仿宋"/>
          <w:b/>
          <w:spacing w:val="-7"/>
          <w:sz w:val="32"/>
          <w:szCs w:val="32"/>
          <w:lang w:val="en-US" w:eastAsia="zh-CN" w:bidi="zh-CN"/>
        </w:rPr>
        <w:t>万元。</w:t>
      </w:r>
    </w:p>
    <w:p>
      <w:pPr>
        <w:pStyle w:val="4"/>
        <w:keepNext w:val="0"/>
        <w:keepLines w:val="0"/>
        <w:pageBreakBefore w:val="0"/>
        <w:widowControl w:val="0"/>
        <w:kinsoku/>
        <w:wordWrap/>
        <w:overflowPunct/>
        <w:topLinePunct w:val="0"/>
        <w:autoSpaceDE w:val="0"/>
        <w:autoSpaceDN w:val="0"/>
        <w:bidi w:val="0"/>
        <w:adjustRightInd/>
        <w:snapToGrid/>
        <w:spacing w:line="640" w:lineRule="exact"/>
        <w:ind w:firstLine="652" w:firstLineChars="200"/>
        <w:jc w:val="both"/>
        <w:textAlignment w:val="auto"/>
        <w:rPr>
          <w:rFonts w:hint="eastAsia"/>
          <w:spacing w:val="11"/>
          <w:w w:val="95"/>
          <w:szCs w:val="22"/>
        </w:rPr>
      </w:pPr>
      <w:r>
        <w:rPr>
          <w:rFonts w:hint="eastAsia"/>
          <w:spacing w:val="11"/>
          <w:w w:val="95"/>
          <w:szCs w:val="22"/>
        </w:rPr>
        <w:t>国资委研究中心</w:t>
      </w:r>
      <w:r>
        <w:rPr>
          <w:rFonts w:hint="eastAsia"/>
          <w:spacing w:val="11"/>
          <w:w w:val="95"/>
          <w:szCs w:val="22"/>
          <w:lang w:eastAsia="zh-CN"/>
        </w:rPr>
        <w:t>202</w:t>
      </w:r>
      <w:r>
        <w:rPr>
          <w:rFonts w:hint="eastAsia"/>
          <w:spacing w:val="11"/>
          <w:w w:val="95"/>
          <w:szCs w:val="22"/>
          <w:lang w:val="en-US" w:eastAsia="zh-CN"/>
        </w:rPr>
        <w:t>2</w:t>
      </w:r>
      <w:r>
        <w:rPr>
          <w:rFonts w:hint="eastAsia"/>
          <w:spacing w:val="11"/>
          <w:w w:val="95"/>
          <w:szCs w:val="22"/>
        </w:rPr>
        <w:t>年度总收入</w:t>
      </w:r>
      <w:r>
        <w:rPr>
          <w:rFonts w:hint="eastAsia"/>
          <w:spacing w:val="11"/>
          <w:w w:val="95"/>
          <w:szCs w:val="22"/>
          <w:lang w:val="en-US" w:eastAsia="zh-CN"/>
        </w:rPr>
        <w:t>2113.58</w:t>
      </w:r>
      <w:r>
        <w:rPr>
          <w:rFonts w:hint="eastAsia"/>
          <w:spacing w:val="11"/>
          <w:w w:val="95"/>
          <w:szCs w:val="22"/>
        </w:rPr>
        <w:t>万元。其中，本年收入</w:t>
      </w:r>
      <w:r>
        <w:rPr>
          <w:rFonts w:hint="eastAsia"/>
          <w:spacing w:val="11"/>
          <w:w w:val="95"/>
          <w:szCs w:val="22"/>
          <w:lang w:val="en-US" w:eastAsia="zh-CN"/>
        </w:rPr>
        <w:t>1894.55</w:t>
      </w:r>
      <w:r>
        <w:rPr>
          <w:rFonts w:hint="eastAsia"/>
          <w:spacing w:val="11"/>
          <w:w w:val="95"/>
          <w:szCs w:val="22"/>
        </w:rPr>
        <w:t>万元，上年结转结余资金</w:t>
      </w:r>
      <w:r>
        <w:rPr>
          <w:rFonts w:hint="eastAsia"/>
          <w:spacing w:val="11"/>
          <w:w w:val="95"/>
          <w:szCs w:val="22"/>
          <w:lang w:val="en-US" w:eastAsia="zh-CN"/>
        </w:rPr>
        <w:t>187.43</w:t>
      </w:r>
      <w:r>
        <w:rPr>
          <w:rFonts w:hint="eastAsia"/>
          <w:spacing w:val="11"/>
          <w:w w:val="95"/>
          <w:szCs w:val="22"/>
          <w:lang w:val="en-US"/>
        </w:rPr>
        <w:t>万元</w:t>
      </w:r>
      <w:r>
        <w:rPr>
          <w:rFonts w:hint="eastAsia"/>
          <w:spacing w:val="11"/>
          <w:w w:val="95"/>
          <w:szCs w:val="22"/>
        </w:rPr>
        <w:t>。具体情况如下：</w:t>
      </w:r>
    </w:p>
    <w:p>
      <w:pPr>
        <w:pStyle w:val="4"/>
        <w:keepNext w:val="0"/>
        <w:keepLines w:val="0"/>
        <w:pageBreakBefore w:val="0"/>
        <w:widowControl w:val="0"/>
        <w:kinsoku/>
        <w:wordWrap/>
        <w:overflowPunct/>
        <w:topLinePunct w:val="0"/>
        <w:autoSpaceDE w:val="0"/>
        <w:autoSpaceDN w:val="0"/>
        <w:bidi w:val="0"/>
        <w:adjustRightInd/>
        <w:snapToGrid/>
        <w:spacing w:before="212" w:line="640" w:lineRule="exact"/>
        <w:ind w:firstLine="586" w:firstLineChars="200"/>
        <w:jc w:val="both"/>
        <w:textAlignment w:val="auto"/>
        <w:rPr>
          <w:rFonts w:hint="eastAsia" w:eastAsia="仿宋"/>
          <w:spacing w:val="11"/>
          <w:w w:val="95"/>
          <w:szCs w:val="22"/>
          <w:lang w:eastAsia="zh-CN"/>
        </w:rPr>
      </w:pPr>
      <w:r>
        <w:rPr>
          <w:rFonts w:hint="eastAsia" w:ascii="仿宋" w:hAnsi="仿宋" w:eastAsia="仿宋" w:cs="仿宋"/>
          <w:b/>
          <w:spacing w:val="-14"/>
          <w:sz w:val="32"/>
        </w:rPr>
        <w:t>（1）</w:t>
      </w:r>
      <w:r>
        <w:rPr>
          <w:rFonts w:hint="eastAsia" w:ascii="仿宋" w:hAnsi="仿宋" w:eastAsia="仿宋" w:cs="仿宋"/>
          <w:b/>
          <w:spacing w:val="-7"/>
          <w:sz w:val="32"/>
        </w:rPr>
        <w:t>一般公共预算财政拨款收入</w:t>
      </w:r>
      <w:r>
        <w:rPr>
          <w:rFonts w:hint="eastAsia" w:cs="仿宋"/>
          <w:b/>
          <w:spacing w:val="-7"/>
          <w:sz w:val="32"/>
          <w:lang w:val="en-US" w:eastAsia="zh-CN"/>
        </w:rPr>
        <w:t>1249.06</w:t>
      </w:r>
      <w:r>
        <w:rPr>
          <w:rFonts w:hint="eastAsia" w:ascii="仿宋" w:hAnsi="仿宋" w:eastAsia="仿宋" w:cs="仿宋"/>
          <w:b/>
          <w:spacing w:val="-40"/>
          <w:sz w:val="32"/>
        </w:rPr>
        <w:t>万元。</w:t>
      </w:r>
      <w:r>
        <w:rPr>
          <w:rFonts w:hint="eastAsia"/>
          <w:spacing w:val="11"/>
          <w:w w:val="95"/>
          <w:szCs w:val="22"/>
        </w:rPr>
        <w:t>国资委研究中心当年从中央财政取得的公共预算资金比20</w:t>
      </w:r>
      <w:r>
        <w:rPr>
          <w:rFonts w:hint="eastAsia"/>
          <w:spacing w:val="11"/>
          <w:w w:val="95"/>
          <w:szCs w:val="22"/>
          <w:lang w:val="en-US" w:eastAsia="zh-CN"/>
        </w:rPr>
        <w:t>21</w:t>
      </w:r>
      <w:r>
        <w:rPr>
          <w:rFonts w:hint="eastAsia"/>
          <w:spacing w:val="11"/>
          <w:w w:val="95"/>
          <w:szCs w:val="22"/>
        </w:rPr>
        <w:t>年度决算数</w:t>
      </w:r>
      <w:r>
        <w:rPr>
          <w:rFonts w:hint="eastAsia"/>
          <w:spacing w:val="11"/>
          <w:w w:val="95"/>
          <w:szCs w:val="22"/>
          <w:lang w:val="en-US" w:eastAsia="zh-CN"/>
        </w:rPr>
        <w:t>减少 16.91</w:t>
      </w:r>
      <w:r>
        <w:rPr>
          <w:rFonts w:hint="eastAsia"/>
          <w:spacing w:val="11"/>
          <w:w w:val="95"/>
          <w:szCs w:val="22"/>
        </w:rPr>
        <w:t>万元，</w:t>
      </w:r>
      <w:r>
        <w:rPr>
          <w:rFonts w:hint="eastAsia"/>
          <w:spacing w:val="11"/>
          <w:w w:val="95"/>
          <w:szCs w:val="22"/>
          <w:lang w:val="en-US" w:eastAsia="zh-CN"/>
        </w:rPr>
        <w:t>减幅1.36</w:t>
      </w:r>
      <w:r>
        <w:rPr>
          <w:rFonts w:hint="eastAsia"/>
          <w:spacing w:val="11"/>
          <w:w w:val="95"/>
          <w:szCs w:val="22"/>
        </w:rPr>
        <w:t>%，主要原因是</w:t>
      </w:r>
      <w:r>
        <w:rPr>
          <w:rFonts w:hint="eastAsia"/>
          <w:spacing w:val="11"/>
          <w:w w:val="95"/>
          <w:szCs w:val="22"/>
          <w:lang w:val="en-US" w:eastAsia="zh-CN"/>
        </w:rPr>
        <w:t>疫情影响导致项目支出计划减少</w:t>
      </w:r>
      <w:r>
        <w:rPr>
          <w:rFonts w:hint="eastAsia"/>
          <w:spacing w:val="11"/>
          <w:w w:val="95"/>
          <w:szCs w:val="22"/>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212" w:line="640" w:lineRule="exact"/>
        <w:ind w:firstLine="654" w:firstLineChars="200"/>
        <w:jc w:val="both"/>
        <w:textAlignment w:val="auto"/>
        <w:rPr>
          <w:rFonts w:hint="eastAsia"/>
          <w:spacing w:val="11"/>
          <w:w w:val="95"/>
          <w:szCs w:val="22"/>
        </w:rPr>
      </w:pPr>
      <w:r>
        <w:rPr>
          <w:rFonts w:hint="eastAsia"/>
          <w:b/>
          <w:bCs/>
          <w:spacing w:val="11"/>
          <w:w w:val="95"/>
          <w:szCs w:val="22"/>
        </w:rPr>
        <w:t>（2）事业收入</w:t>
      </w:r>
      <w:r>
        <w:rPr>
          <w:rFonts w:hint="eastAsia"/>
          <w:b/>
          <w:bCs/>
          <w:spacing w:val="11"/>
          <w:w w:val="95"/>
          <w:szCs w:val="22"/>
          <w:lang w:val="en-US" w:eastAsia="zh-CN"/>
        </w:rPr>
        <w:t>622.42</w:t>
      </w:r>
      <w:r>
        <w:rPr>
          <w:rFonts w:hint="eastAsia"/>
          <w:b/>
          <w:bCs/>
          <w:spacing w:val="11"/>
          <w:w w:val="95"/>
          <w:szCs w:val="22"/>
        </w:rPr>
        <w:t>万元。</w:t>
      </w:r>
      <w:r>
        <w:rPr>
          <w:rFonts w:hint="eastAsia"/>
          <w:spacing w:val="11"/>
          <w:w w:val="95"/>
          <w:szCs w:val="22"/>
        </w:rPr>
        <w:t>系本单位开展专业业务活动及辅助活动所取得的收入。比 202</w:t>
      </w:r>
      <w:r>
        <w:rPr>
          <w:rFonts w:hint="eastAsia"/>
          <w:spacing w:val="11"/>
          <w:w w:val="95"/>
          <w:szCs w:val="22"/>
          <w:lang w:val="en-US" w:eastAsia="zh-CN"/>
        </w:rPr>
        <w:t>1</w:t>
      </w:r>
      <w:r>
        <w:rPr>
          <w:rFonts w:hint="eastAsia"/>
          <w:spacing w:val="11"/>
          <w:w w:val="95"/>
          <w:szCs w:val="22"/>
        </w:rPr>
        <w:t>年度决算数</w:t>
      </w:r>
      <w:r>
        <w:rPr>
          <w:rFonts w:hint="eastAsia"/>
          <w:spacing w:val="11"/>
          <w:w w:val="95"/>
          <w:szCs w:val="22"/>
          <w:lang w:val="en-US" w:eastAsia="zh-CN"/>
        </w:rPr>
        <w:t>增加171.21</w:t>
      </w:r>
      <w:r>
        <w:rPr>
          <w:rFonts w:hint="eastAsia"/>
          <w:spacing w:val="11"/>
          <w:w w:val="95"/>
          <w:szCs w:val="22"/>
        </w:rPr>
        <w:t>万元，</w:t>
      </w:r>
      <w:r>
        <w:rPr>
          <w:rFonts w:hint="eastAsia"/>
          <w:spacing w:val="11"/>
          <w:w w:val="95"/>
          <w:szCs w:val="22"/>
          <w:lang w:val="en-US" w:eastAsia="zh-CN"/>
        </w:rPr>
        <w:t>增</w:t>
      </w:r>
      <w:r>
        <w:rPr>
          <w:rFonts w:hint="eastAsia"/>
          <w:spacing w:val="11"/>
          <w:w w:val="95"/>
          <w:szCs w:val="22"/>
        </w:rPr>
        <w:t>幅</w:t>
      </w:r>
      <w:r>
        <w:rPr>
          <w:rFonts w:hint="eastAsia"/>
          <w:spacing w:val="11"/>
          <w:w w:val="95"/>
          <w:szCs w:val="22"/>
          <w:lang w:val="en-US" w:eastAsia="zh-CN"/>
        </w:rPr>
        <w:t>37.9</w:t>
      </w:r>
      <w:r>
        <w:rPr>
          <w:rFonts w:hint="eastAsia"/>
          <w:spacing w:val="11"/>
          <w:w w:val="95"/>
          <w:szCs w:val="22"/>
        </w:rPr>
        <w:t>%，主要原因是</w:t>
      </w:r>
      <w:r>
        <w:rPr>
          <w:rFonts w:hint="eastAsia"/>
          <w:spacing w:val="11"/>
          <w:w w:val="95"/>
          <w:szCs w:val="22"/>
          <w:lang w:val="en-US" w:eastAsia="zh-CN"/>
        </w:rPr>
        <w:t>业务规模扩张课题收入增加</w:t>
      </w:r>
      <w:r>
        <w:rPr>
          <w:rFonts w:hint="eastAsia"/>
          <w:spacing w:val="11"/>
          <w:w w:val="95"/>
          <w:szCs w:val="22"/>
        </w:rPr>
        <w:t>。</w:t>
      </w:r>
    </w:p>
    <w:p>
      <w:pPr>
        <w:pStyle w:val="4"/>
        <w:keepNext w:val="0"/>
        <w:keepLines w:val="0"/>
        <w:pageBreakBefore w:val="0"/>
        <w:widowControl w:val="0"/>
        <w:kinsoku/>
        <w:wordWrap/>
        <w:overflowPunct/>
        <w:topLinePunct w:val="0"/>
        <w:autoSpaceDE w:val="0"/>
        <w:autoSpaceDN w:val="0"/>
        <w:bidi w:val="0"/>
        <w:adjustRightInd/>
        <w:snapToGrid/>
        <w:spacing w:before="212" w:line="640" w:lineRule="exact"/>
        <w:ind w:firstLine="654" w:firstLineChars="200"/>
        <w:jc w:val="both"/>
        <w:textAlignment w:val="auto"/>
        <w:rPr>
          <w:rFonts w:hint="eastAsia"/>
          <w:spacing w:val="11"/>
          <w:w w:val="95"/>
          <w:szCs w:val="22"/>
        </w:rPr>
      </w:pPr>
      <w:r>
        <w:rPr>
          <w:rFonts w:hint="eastAsia"/>
          <w:b/>
          <w:bCs/>
          <w:spacing w:val="11"/>
          <w:w w:val="95"/>
          <w:szCs w:val="22"/>
        </w:rPr>
        <w:t>（3）其他收入</w:t>
      </w:r>
      <w:r>
        <w:rPr>
          <w:rFonts w:hint="eastAsia"/>
          <w:b/>
          <w:bCs/>
          <w:spacing w:val="11"/>
          <w:w w:val="95"/>
          <w:szCs w:val="22"/>
          <w:lang w:val="en-US" w:eastAsia="zh-CN"/>
        </w:rPr>
        <w:t>23.07</w:t>
      </w:r>
      <w:r>
        <w:rPr>
          <w:rFonts w:hint="eastAsia"/>
          <w:b/>
          <w:bCs/>
          <w:spacing w:val="11"/>
          <w:w w:val="95"/>
          <w:szCs w:val="22"/>
        </w:rPr>
        <w:t>万元。</w:t>
      </w:r>
      <w:r>
        <w:rPr>
          <w:rFonts w:hint="eastAsia"/>
          <w:spacing w:val="11"/>
          <w:w w:val="95"/>
          <w:szCs w:val="22"/>
        </w:rPr>
        <w:t>其他收入主要是非同级财政拨款和利息等其他收入。比202</w:t>
      </w:r>
      <w:r>
        <w:rPr>
          <w:rFonts w:hint="eastAsia"/>
          <w:spacing w:val="11"/>
          <w:w w:val="95"/>
          <w:szCs w:val="22"/>
          <w:lang w:val="en-US" w:eastAsia="zh-CN"/>
        </w:rPr>
        <w:t>1</w:t>
      </w:r>
      <w:r>
        <w:rPr>
          <w:rFonts w:hint="eastAsia"/>
          <w:spacing w:val="11"/>
          <w:w w:val="95"/>
          <w:szCs w:val="22"/>
        </w:rPr>
        <w:t>年决算数减少</w:t>
      </w:r>
      <w:r>
        <w:rPr>
          <w:rFonts w:hint="eastAsia"/>
          <w:spacing w:val="11"/>
          <w:w w:val="95"/>
          <w:szCs w:val="22"/>
          <w:lang w:val="en-US" w:eastAsia="zh-CN"/>
        </w:rPr>
        <w:t>11.62</w:t>
      </w:r>
      <w:r>
        <w:rPr>
          <w:rFonts w:hint="eastAsia"/>
          <w:spacing w:val="11"/>
          <w:w w:val="95"/>
          <w:szCs w:val="22"/>
        </w:rPr>
        <w:t>万元，主要原因是公费医疗补助收入减少</w:t>
      </w:r>
      <w:r>
        <w:rPr>
          <w:rFonts w:hint="eastAsia"/>
          <w:spacing w:val="11"/>
          <w:w w:val="95"/>
          <w:szCs w:val="22"/>
          <w:lang w:val="en-US" w:eastAsia="zh-CN"/>
        </w:rPr>
        <w:t>以及</w:t>
      </w:r>
      <w:r>
        <w:rPr>
          <w:rFonts w:hint="eastAsia"/>
          <w:spacing w:val="11"/>
          <w:w w:val="95"/>
          <w:szCs w:val="22"/>
        </w:rPr>
        <w:t>利息收入减少。</w:t>
      </w:r>
    </w:p>
    <w:p>
      <w:pPr>
        <w:pStyle w:val="4"/>
        <w:keepNext w:val="0"/>
        <w:keepLines w:val="0"/>
        <w:pageBreakBefore w:val="0"/>
        <w:widowControl w:val="0"/>
        <w:kinsoku/>
        <w:wordWrap/>
        <w:overflowPunct/>
        <w:topLinePunct w:val="0"/>
        <w:autoSpaceDE w:val="0"/>
        <w:autoSpaceDN w:val="0"/>
        <w:bidi w:val="0"/>
        <w:adjustRightInd/>
        <w:snapToGrid/>
        <w:spacing w:before="212" w:line="640" w:lineRule="exact"/>
        <w:ind w:firstLine="654" w:firstLineChars="200"/>
        <w:jc w:val="both"/>
        <w:textAlignment w:val="auto"/>
        <w:rPr>
          <w:rFonts w:hint="eastAsia"/>
          <w:spacing w:val="11"/>
          <w:w w:val="95"/>
          <w:szCs w:val="22"/>
        </w:rPr>
      </w:pPr>
      <w:r>
        <w:rPr>
          <w:rFonts w:hint="eastAsia"/>
          <w:b/>
          <w:bCs/>
          <w:spacing w:val="11"/>
          <w:w w:val="95"/>
          <w:szCs w:val="22"/>
        </w:rPr>
        <w:t>（4）年初结转和结余</w:t>
      </w:r>
      <w:r>
        <w:rPr>
          <w:rFonts w:hint="eastAsia"/>
          <w:b/>
          <w:bCs/>
          <w:spacing w:val="11"/>
          <w:w w:val="95"/>
          <w:szCs w:val="22"/>
          <w:lang w:val="en-US" w:eastAsia="zh-CN"/>
        </w:rPr>
        <w:t>187.43</w:t>
      </w:r>
      <w:r>
        <w:rPr>
          <w:rFonts w:hint="eastAsia"/>
          <w:b/>
          <w:bCs/>
          <w:spacing w:val="11"/>
          <w:w w:val="95"/>
          <w:szCs w:val="22"/>
        </w:rPr>
        <w:t>万元。</w:t>
      </w:r>
      <w:r>
        <w:rPr>
          <w:rFonts w:hint="eastAsia"/>
          <w:spacing w:val="11"/>
          <w:w w:val="95"/>
          <w:szCs w:val="22"/>
        </w:rPr>
        <w:t>结转资金为本单位基建项目结转。受疫情影响，基建项目进度未达预期，以前年度支出预算尚未完成，结转至本年，仍按原规定用途继续使用该项目资金。</w:t>
      </w:r>
    </w:p>
    <w:p>
      <w:pPr>
        <w:pStyle w:val="4"/>
        <w:keepNext w:val="0"/>
        <w:keepLines w:val="0"/>
        <w:pageBreakBefore w:val="0"/>
        <w:widowControl w:val="0"/>
        <w:kinsoku/>
        <w:wordWrap/>
        <w:overflowPunct/>
        <w:topLinePunct w:val="0"/>
        <w:autoSpaceDE w:val="0"/>
        <w:autoSpaceDN w:val="0"/>
        <w:bidi w:val="0"/>
        <w:adjustRightInd/>
        <w:snapToGrid/>
        <w:spacing w:before="212" w:line="640" w:lineRule="exact"/>
        <w:ind w:firstLine="654" w:firstLineChars="200"/>
        <w:jc w:val="both"/>
        <w:textAlignment w:val="auto"/>
        <w:rPr>
          <w:rFonts w:hint="eastAsia"/>
          <w:spacing w:val="11"/>
          <w:w w:val="95"/>
          <w:szCs w:val="22"/>
        </w:rPr>
      </w:pPr>
      <w:r>
        <w:rPr>
          <w:rFonts w:hint="eastAsia"/>
          <w:b/>
          <w:bCs/>
          <w:spacing w:val="11"/>
          <w:w w:val="95"/>
          <w:szCs w:val="22"/>
          <w:lang w:eastAsia="zh-CN"/>
        </w:rPr>
        <w:t>（</w:t>
      </w:r>
      <w:r>
        <w:rPr>
          <w:rFonts w:hint="eastAsia"/>
          <w:b/>
          <w:bCs/>
          <w:spacing w:val="11"/>
          <w:w w:val="95"/>
          <w:szCs w:val="22"/>
          <w:lang w:val="en-US" w:eastAsia="zh-CN"/>
        </w:rPr>
        <w:t>5</w:t>
      </w:r>
      <w:r>
        <w:rPr>
          <w:rFonts w:hint="eastAsia"/>
          <w:b/>
          <w:bCs/>
          <w:spacing w:val="11"/>
          <w:w w:val="95"/>
          <w:szCs w:val="22"/>
          <w:lang w:eastAsia="zh-CN"/>
        </w:rPr>
        <w:t>）</w:t>
      </w:r>
      <w:r>
        <w:rPr>
          <w:rFonts w:hint="eastAsia"/>
          <w:b/>
          <w:bCs/>
          <w:spacing w:val="11"/>
          <w:w w:val="95"/>
          <w:szCs w:val="22"/>
          <w:lang w:val="en-US" w:eastAsia="zh-CN"/>
        </w:rPr>
        <w:t>非财政拨款结余31.61万元。</w:t>
      </w:r>
      <w:r>
        <w:rPr>
          <w:rFonts w:hint="eastAsia"/>
          <w:spacing w:val="11"/>
          <w:w w:val="95"/>
          <w:szCs w:val="22"/>
        </w:rPr>
        <w:t>受疫情影响，以前年度支出预算尚未完成，结转至本年，仍按原规定用途继续使用该项资金。</w:t>
      </w:r>
    </w:p>
    <w:p>
      <w:pPr>
        <w:pStyle w:val="3"/>
        <w:keepNext w:val="0"/>
        <w:keepLines w:val="0"/>
        <w:pageBreakBefore w:val="0"/>
        <w:widowControl w:val="0"/>
        <w:kinsoku/>
        <w:wordWrap/>
        <w:overflowPunct/>
        <w:topLinePunct w:val="0"/>
        <w:autoSpaceDE w:val="0"/>
        <w:autoSpaceDN w:val="0"/>
        <w:bidi w:val="0"/>
        <w:adjustRightInd/>
        <w:snapToGrid/>
        <w:spacing w:before="217" w:line="640" w:lineRule="exact"/>
        <w:ind w:left="1244" w:right="1400"/>
        <w:jc w:val="center"/>
        <w:textAlignment w:val="auto"/>
        <w:rPr>
          <w:rFonts w:hint="eastAsia"/>
        </w:rPr>
      </w:pPr>
      <w:r>
        <w:rPr>
          <w:rFonts w:hint="eastAsia"/>
        </w:rPr>
        <w:t xml:space="preserve">国资委研究中心 </w:t>
      </w:r>
      <w:r>
        <w:rPr>
          <w:rFonts w:hint="eastAsia"/>
          <w:lang w:eastAsia="zh-CN"/>
        </w:rPr>
        <w:t>202</w:t>
      </w:r>
      <w:r>
        <w:rPr>
          <w:rFonts w:hint="eastAsia"/>
          <w:lang w:val="en-US" w:eastAsia="zh-CN"/>
        </w:rPr>
        <w:t>2</w:t>
      </w:r>
      <w:r>
        <w:rPr>
          <w:rFonts w:hint="eastAsia"/>
        </w:rPr>
        <w:t xml:space="preserve"> 年度本年收入结构图</w:t>
      </w:r>
    </w:p>
    <w:p>
      <w:pPr>
        <w:pStyle w:val="4"/>
        <w:spacing w:before="6"/>
        <w:rPr>
          <w:rFonts w:ascii="宋体"/>
          <w:b/>
          <w:sz w:val="13"/>
        </w:rPr>
      </w:pPr>
    </w:p>
    <w:p>
      <w:pPr>
        <w:spacing w:before="192"/>
        <w:ind w:left="763"/>
        <w:rPr>
          <w:rFonts w:hint="eastAsia" w:eastAsia="仿宋"/>
          <w:lang w:eastAsia="zh-CN"/>
        </w:rPr>
      </w:pPr>
      <w:r>
        <w:rPr>
          <w:sz w:val="22"/>
        </w:rPr>
        <mc:AlternateContent>
          <mc:Choice Requires="wps">
            <w:drawing>
              <wp:anchor distT="0" distB="0" distL="114300" distR="114300" simplePos="0" relativeHeight="251659264" behindDoc="0" locked="0" layoutInCell="1" allowOverlap="1">
                <wp:simplePos x="0" y="0"/>
                <wp:positionH relativeFrom="column">
                  <wp:posOffset>4136390</wp:posOffset>
                </wp:positionH>
                <wp:positionV relativeFrom="paragraph">
                  <wp:posOffset>177800</wp:posOffset>
                </wp:positionV>
                <wp:extent cx="970915" cy="247650"/>
                <wp:effectExtent l="0" t="0" r="0" b="0"/>
                <wp:wrapNone/>
                <wp:docPr id="4" name="文本框 4"/>
                <wp:cNvGraphicFramePr/>
                <a:graphic xmlns:a="http://schemas.openxmlformats.org/drawingml/2006/main">
                  <a:graphicData uri="http://schemas.microsoft.com/office/word/2010/wordprocessingShape">
                    <wps:wsp>
                      <wps:cNvSpPr txBox="true"/>
                      <wps:spPr>
                        <a:xfrm>
                          <a:off x="5215255" y="1485265"/>
                          <a:ext cx="970915"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
                                <w:sz w:val="20"/>
                                <w:szCs w:val="20"/>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5.7pt;margin-top:14pt;height:19.5pt;width:76.45pt;z-index:251659264;mso-width-relative:page;mso-height-relative:page;" filled="f" stroked="f" coordsize="21600,21600" o:gfxdata="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3cSuC2gAAAAkBAAAPAAAAAAAAAAEA&#10;IAAAADgAAABkcnMvZG93bnJldi54bWxQSwECFAAUAAAACACHTuJAcLvujjACAAA1BAAADgAAAAAA&#10;AAABACAAAAA/AQAAZHJzL2Uyb0RvYy54bWxQSwUGAAAAAAYABgBZAQAA4QUAAAAA&#10;">
                <v:fill on="f" focussize="0,0"/>
                <v:stroke on="f" weight="0.5pt"/>
                <v:imagedata o:title=""/>
                <o:lock v:ext="edit" aspectratio="f"/>
                <v:textbox>
                  <w:txbxContent>
                    <w:p>
                      <w:pPr>
                        <w:rPr>
                          <w:rFonts w:hint="eastAsia" w:eastAsia="仿宋"/>
                          <w:sz w:val="20"/>
                          <w:szCs w:val="20"/>
                          <w:lang w:eastAsia="zh-CN"/>
                        </w:rPr>
                      </w:pPr>
                    </w:p>
                  </w:txbxContent>
                </v:textbox>
              </v:shape>
            </w:pict>
          </mc:Fallback>
        </mc:AlternateContent>
      </w:r>
      <w:r>
        <w:rPr>
          <w:rFonts w:hint="eastAsia" w:eastAsia="仿宋"/>
          <w:lang w:eastAsia="zh-CN"/>
        </w:rPr>
        <w:drawing>
          <wp:inline distT="0" distB="0" distL="114300" distR="114300">
            <wp:extent cx="5080000" cy="3810000"/>
            <wp:effectExtent l="4445" t="4445" r="8255" b="825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val="0"/>
        <w:autoSpaceDN w:val="0"/>
        <w:bidi w:val="0"/>
        <w:adjustRightInd/>
        <w:snapToGrid/>
        <w:spacing w:before="192" w:line="640" w:lineRule="exact"/>
        <w:ind w:left="763"/>
        <w:textAlignment w:val="auto"/>
        <w:rPr>
          <w:b/>
          <w:sz w:val="32"/>
        </w:rPr>
      </w:pPr>
      <w:r>
        <w:rPr>
          <w:rFonts w:ascii="Times New Roman" w:eastAsia="Times New Roman"/>
          <w:b/>
          <w:sz w:val="32"/>
        </w:rPr>
        <w:t>2</w:t>
      </w:r>
      <w:r>
        <w:rPr>
          <w:rFonts w:ascii="Times New Roman" w:eastAsia="Times New Roman"/>
          <w:b/>
          <w:spacing w:val="39"/>
          <w:sz w:val="32"/>
        </w:rPr>
        <w:t xml:space="preserve">. </w:t>
      </w:r>
      <w:r>
        <w:rPr>
          <w:rFonts w:hint="eastAsia"/>
          <w:b/>
          <w:sz w:val="32"/>
          <w:lang w:val="en-US"/>
        </w:rPr>
        <w:t>支出总计</w:t>
      </w:r>
      <w:r>
        <w:rPr>
          <w:rFonts w:hint="eastAsia"/>
          <w:b/>
          <w:sz w:val="32"/>
          <w:lang w:val="en-US" w:eastAsia="zh-CN"/>
        </w:rPr>
        <w:t xml:space="preserve">2113.58 </w:t>
      </w:r>
      <w:r>
        <w:rPr>
          <w:rFonts w:hint="eastAsia"/>
          <w:b/>
          <w:sz w:val="32"/>
          <w:lang w:val="en-US"/>
        </w:rPr>
        <w:t>万元</w:t>
      </w:r>
      <w:r>
        <w:rPr>
          <w:b/>
          <w:spacing w:val="-17"/>
          <w:sz w:val="32"/>
        </w:rPr>
        <w:t>。</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0"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国资委研究中心202</w:t>
      </w:r>
      <w:r>
        <w:rPr>
          <w:rFonts w:hint="eastAsia" w:cs="仿宋"/>
          <w:sz w:val="32"/>
          <w:szCs w:val="32"/>
          <w:lang w:val="en-US" w:eastAsia="zh-CN" w:bidi="zh-CN"/>
        </w:rPr>
        <w:t>2</w:t>
      </w:r>
      <w:r>
        <w:rPr>
          <w:rFonts w:hint="eastAsia" w:ascii="仿宋" w:hAnsi="仿宋" w:eastAsia="仿宋" w:cs="仿宋"/>
          <w:sz w:val="32"/>
          <w:szCs w:val="32"/>
          <w:lang w:val="zh-CN" w:eastAsia="zh-CN" w:bidi="zh-CN"/>
        </w:rPr>
        <w:t>年度总支出</w:t>
      </w:r>
      <w:r>
        <w:rPr>
          <w:rFonts w:hint="eastAsia"/>
          <w:b w:val="0"/>
          <w:bCs/>
          <w:sz w:val="32"/>
          <w:lang w:val="en-US" w:eastAsia="zh-CN"/>
        </w:rPr>
        <w:t>2113.58</w:t>
      </w:r>
      <w:r>
        <w:rPr>
          <w:rFonts w:hint="eastAsia" w:ascii="仿宋" w:hAnsi="仿宋" w:eastAsia="仿宋" w:cs="仿宋"/>
          <w:sz w:val="32"/>
          <w:szCs w:val="32"/>
          <w:lang w:val="zh-CN" w:eastAsia="zh-CN" w:bidi="zh-CN"/>
        </w:rPr>
        <w:t>万元。具体情况如下：</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（1）资源勘探工业信息等支出1157.89万元。</w:t>
      </w:r>
      <w:r>
        <w:rPr>
          <w:rFonts w:hint="eastAsia" w:ascii="仿宋" w:hAnsi="仿宋" w:eastAsia="仿宋" w:cs="仿宋"/>
          <w:sz w:val="32"/>
          <w:szCs w:val="32"/>
          <w:lang w:val="zh-CN" w:eastAsia="zh-CN" w:bidi="zh-CN"/>
        </w:rPr>
        <w:t>其中基本支出893.05万元，主要是用于人员支出和日常公用支出；项目支出264.84万元。比202</w:t>
      </w:r>
      <w:r>
        <w:rPr>
          <w:rFonts w:hint="eastAsia" w:cs="仿宋"/>
          <w:sz w:val="32"/>
          <w:szCs w:val="32"/>
          <w:lang w:val="en-US" w:eastAsia="zh-CN" w:bidi="zh-CN"/>
        </w:rPr>
        <w:t>1</w:t>
      </w:r>
      <w:r>
        <w:rPr>
          <w:rFonts w:hint="eastAsia" w:ascii="仿宋" w:hAnsi="仿宋" w:eastAsia="仿宋" w:cs="仿宋"/>
          <w:sz w:val="32"/>
          <w:szCs w:val="32"/>
          <w:lang w:val="zh-CN" w:eastAsia="zh-CN" w:bidi="zh-CN"/>
        </w:rPr>
        <w:t>年度决算数1</w:t>
      </w:r>
      <w:r>
        <w:rPr>
          <w:rFonts w:hint="eastAsia" w:cs="仿宋"/>
          <w:sz w:val="32"/>
          <w:szCs w:val="32"/>
          <w:lang w:val="en-US" w:eastAsia="zh-CN" w:bidi="zh-CN"/>
        </w:rPr>
        <w:t>379.24</w:t>
      </w:r>
      <w:r>
        <w:rPr>
          <w:rFonts w:hint="eastAsia" w:ascii="仿宋" w:hAnsi="仿宋" w:eastAsia="仿宋" w:cs="仿宋"/>
          <w:sz w:val="32"/>
          <w:szCs w:val="32"/>
          <w:lang w:val="zh-CN" w:eastAsia="zh-CN" w:bidi="zh-CN"/>
        </w:rPr>
        <w:t>万元减少</w:t>
      </w:r>
      <w:r>
        <w:rPr>
          <w:rFonts w:hint="eastAsia" w:cs="仿宋"/>
          <w:sz w:val="32"/>
          <w:szCs w:val="32"/>
          <w:lang w:val="en-US" w:eastAsia="zh-CN" w:bidi="zh-CN"/>
        </w:rPr>
        <w:t>221.35</w:t>
      </w:r>
      <w:r>
        <w:rPr>
          <w:rFonts w:hint="eastAsia" w:ascii="仿宋" w:hAnsi="仿宋" w:eastAsia="仿宋" w:cs="仿宋"/>
          <w:sz w:val="32"/>
          <w:szCs w:val="32"/>
          <w:lang w:val="zh-CN" w:eastAsia="zh-CN" w:bidi="zh-CN"/>
        </w:rPr>
        <w:t>万元，主要原因是基本支出中日常公用支出减少。</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（2）社会保障和就业（类）</w:t>
      </w:r>
      <w:r>
        <w:rPr>
          <w:rFonts w:hint="eastAsia" w:cs="仿宋"/>
          <w:b/>
          <w:bCs/>
          <w:sz w:val="32"/>
          <w:szCs w:val="32"/>
          <w:lang w:val="en-US" w:eastAsia="zh-CN" w:bidi="zh-CN"/>
        </w:rPr>
        <w:t>121.13</w:t>
      </w:r>
      <w:r>
        <w:rPr>
          <w:rFonts w:hint="eastAsia" w:ascii="仿宋" w:hAnsi="仿宋" w:eastAsia="仿宋" w:cs="仿宋"/>
          <w:b/>
          <w:bCs/>
          <w:sz w:val="32"/>
          <w:szCs w:val="32"/>
          <w:lang w:val="zh-CN" w:eastAsia="zh-CN" w:bidi="zh-CN"/>
        </w:rPr>
        <w:t>万元。</w:t>
      </w:r>
      <w:r>
        <w:rPr>
          <w:rFonts w:hint="eastAsia" w:ascii="仿宋" w:hAnsi="仿宋" w:eastAsia="仿宋" w:cs="仿宋"/>
          <w:sz w:val="32"/>
          <w:szCs w:val="32"/>
          <w:lang w:val="zh-CN" w:eastAsia="zh-CN" w:bidi="zh-CN"/>
        </w:rPr>
        <w:t>主要是用于本单位退休人员、基本养老保险缴费以及职业年金缴费支出。比 202</w:t>
      </w:r>
      <w:r>
        <w:rPr>
          <w:rFonts w:hint="eastAsia" w:cs="仿宋"/>
          <w:sz w:val="32"/>
          <w:szCs w:val="32"/>
          <w:lang w:val="en-US" w:eastAsia="zh-CN" w:bidi="zh-CN"/>
        </w:rPr>
        <w:t>1</w:t>
      </w:r>
      <w:r>
        <w:rPr>
          <w:rFonts w:hint="eastAsia" w:ascii="仿宋" w:hAnsi="仿宋" w:eastAsia="仿宋" w:cs="仿宋"/>
          <w:sz w:val="32"/>
          <w:szCs w:val="32"/>
          <w:lang w:val="zh-CN" w:eastAsia="zh-CN" w:bidi="zh-CN"/>
        </w:rPr>
        <w:t>年度决算数</w:t>
      </w:r>
      <w:r>
        <w:rPr>
          <w:rFonts w:hint="eastAsia" w:cs="仿宋"/>
          <w:sz w:val="32"/>
          <w:szCs w:val="32"/>
          <w:lang w:val="en-US" w:eastAsia="zh-CN" w:bidi="zh-CN"/>
        </w:rPr>
        <w:t>减少35.99</w:t>
      </w:r>
      <w:r>
        <w:rPr>
          <w:rFonts w:hint="eastAsia" w:ascii="仿宋" w:hAnsi="仿宋" w:eastAsia="仿宋" w:cs="仿宋"/>
          <w:sz w:val="32"/>
          <w:szCs w:val="32"/>
          <w:lang w:val="zh-CN" w:eastAsia="zh-CN" w:bidi="zh-CN"/>
        </w:rPr>
        <w:t>万元，</w:t>
      </w:r>
      <w:r>
        <w:rPr>
          <w:rFonts w:hint="eastAsia" w:cs="仿宋"/>
          <w:sz w:val="32"/>
          <w:szCs w:val="32"/>
          <w:lang w:val="en-US" w:eastAsia="zh-CN" w:bidi="zh-CN"/>
        </w:rPr>
        <w:t>减</w:t>
      </w:r>
      <w:r>
        <w:rPr>
          <w:rFonts w:hint="eastAsia" w:ascii="仿宋" w:hAnsi="仿宋" w:eastAsia="仿宋" w:cs="仿宋"/>
          <w:sz w:val="32"/>
          <w:szCs w:val="32"/>
          <w:lang w:val="zh-CN" w:eastAsia="zh-CN" w:bidi="zh-CN"/>
        </w:rPr>
        <w:t>幅</w:t>
      </w:r>
      <w:r>
        <w:rPr>
          <w:rFonts w:hint="eastAsia" w:cs="仿宋"/>
          <w:sz w:val="32"/>
          <w:szCs w:val="32"/>
          <w:lang w:val="en-US" w:eastAsia="zh-CN" w:bidi="zh-CN"/>
        </w:rPr>
        <w:t>22.9</w:t>
      </w:r>
      <w:r>
        <w:rPr>
          <w:rFonts w:hint="eastAsia" w:ascii="仿宋" w:hAnsi="仿宋" w:eastAsia="仿宋" w:cs="仿宋"/>
          <w:sz w:val="32"/>
          <w:szCs w:val="32"/>
          <w:lang w:val="zh-CN" w:eastAsia="zh-CN" w:bidi="zh-CN"/>
        </w:rPr>
        <w:t>%，主要原因是人员</w:t>
      </w:r>
      <w:r>
        <w:rPr>
          <w:rFonts w:hint="eastAsia" w:cs="仿宋"/>
          <w:sz w:val="32"/>
          <w:szCs w:val="32"/>
          <w:lang w:val="en-US" w:eastAsia="zh-CN" w:bidi="zh-CN"/>
        </w:rPr>
        <w:t>减少</w:t>
      </w:r>
      <w:r>
        <w:rPr>
          <w:rFonts w:hint="eastAsia" w:ascii="仿宋" w:hAnsi="仿宋" w:eastAsia="仿宋" w:cs="仿宋"/>
          <w:sz w:val="32"/>
          <w:szCs w:val="32"/>
          <w:lang w:val="zh-CN" w:eastAsia="zh-CN" w:bidi="zh-CN"/>
        </w:rPr>
        <w:t>，相应的养老保险及职业年金缴费</w:t>
      </w:r>
      <w:r>
        <w:rPr>
          <w:rFonts w:hint="eastAsia" w:cs="仿宋"/>
          <w:sz w:val="32"/>
          <w:szCs w:val="32"/>
          <w:lang w:val="en-US" w:eastAsia="zh-CN" w:bidi="zh-CN"/>
        </w:rPr>
        <w:t>减少</w:t>
      </w:r>
      <w:r>
        <w:rPr>
          <w:rFonts w:hint="eastAsia" w:ascii="仿宋" w:hAnsi="仿宋" w:eastAsia="仿宋" w:cs="仿宋"/>
          <w:sz w:val="32"/>
          <w:szCs w:val="32"/>
          <w:lang w:val="zh-CN"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（3）住房保障（类）</w:t>
      </w:r>
      <w:r>
        <w:rPr>
          <w:rFonts w:hint="eastAsia" w:cs="仿宋"/>
          <w:b/>
          <w:bCs/>
          <w:sz w:val="32"/>
          <w:szCs w:val="32"/>
          <w:lang w:val="en-US" w:eastAsia="zh-CN" w:bidi="zh-CN"/>
        </w:rPr>
        <w:t>114.21</w:t>
      </w:r>
      <w:r>
        <w:rPr>
          <w:rFonts w:hint="eastAsia" w:ascii="仿宋" w:hAnsi="仿宋" w:eastAsia="仿宋" w:cs="仿宋"/>
          <w:b/>
          <w:bCs/>
          <w:sz w:val="32"/>
          <w:szCs w:val="32"/>
          <w:lang w:val="zh-CN" w:eastAsia="zh-CN" w:bidi="zh-CN"/>
        </w:rPr>
        <w:t>万元。</w:t>
      </w:r>
      <w:r>
        <w:rPr>
          <w:rFonts w:hint="eastAsia" w:ascii="仿宋" w:hAnsi="仿宋" w:eastAsia="仿宋" w:cs="仿宋"/>
          <w:sz w:val="32"/>
          <w:szCs w:val="32"/>
          <w:lang w:val="zh-CN" w:eastAsia="zh-CN" w:bidi="zh-CN"/>
        </w:rPr>
        <w:t>主要是用于本单位按照国家政策规定为职工缴纳住房公积金、发放提租补贴和购房补贴相关支出。比202</w:t>
      </w:r>
      <w:r>
        <w:rPr>
          <w:rFonts w:hint="eastAsia" w:cs="仿宋"/>
          <w:sz w:val="32"/>
          <w:szCs w:val="32"/>
          <w:lang w:val="en-US" w:eastAsia="zh-CN" w:bidi="zh-CN"/>
        </w:rPr>
        <w:t>1</w:t>
      </w:r>
      <w:r>
        <w:rPr>
          <w:rFonts w:hint="eastAsia" w:ascii="仿宋" w:hAnsi="仿宋" w:eastAsia="仿宋" w:cs="仿宋"/>
          <w:sz w:val="32"/>
          <w:szCs w:val="32"/>
          <w:lang w:val="zh-CN" w:eastAsia="zh-CN" w:bidi="zh-CN"/>
        </w:rPr>
        <w:t>年度决算数</w:t>
      </w:r>
      <w:r>
        <w:rPr>
          <w:rFonts w:hint="eastAsia" w:cs="仿宋"/>
          <w:sz w:val="32"/>
          <w:szCs w:val="32"/>
          <w:lang w:val="en-US" w:eastAsia="zh-CN" w:bidi="zh-CN"/>
        </w:rPr>
        <w:t>减少16.58</w:t>
      </w:r>
      <w:r>
        <w:rPr>
          <w:rFonts w:hint="eastAsia" w:ascii="仿宋" w:hAnsi="仿宋" w:eastAsia="仿宋" w:cs="仿宋"/>
          <w:sz w:val="32"/>
          <w:szCs w:val="32"/>
          <w:lang w:val="zh-CN" w:eastAsia="zh-CN" w:bidi="zh-CN"/>
        </w:rPr>
        <w:t>万元，</w:t>
      </w:r>
      <w:r>
        <w:rPr>
          <w:rFonts w:hint="eastAsia" w:cs="仿宋"/>
          <w:sz w:val="32"/>
          <w:szCs w:val="32"/>
          <w:lang w:val="en-US" w:eastAsia="zh-CN" w:bidi="zh-CN"/>
        </w:rPr>
        <w:t>增幅</w:t>
      </w:r>
      <w:r>
        <w:rPr>
          <w:rFonts w:hint="eastAsia" w:ascii="仿宋" w:hAnsi="仿宋" w:eastAsia="仿宋" w:cs="仿宋"/>
          <w:sz w:val="32"/>
          <w:szCs w:val="32"/>
          <w:lang w:val="zh-CN" w:eastAsia="zh-CN" w:bidi="zh-CN"/>
        </w:rPr>
        <w:t xml:space="preserve"> 16.</w:t>
      </w:r>
      <w:r>
        <w:rPr>
          <w:rFonts w:hint="eastAsia" w:cs="仿宋"/>
          <w:sz w:val="32"/>
          <w:szCs w:val="32"/>
          <w:lang w:val="en-US" w:eastAsia="zh-CN" w:bidi="zh-CN"/>
        </w:rPr>
        <w:t>98</w:t>
      </w:r>
      <w:r>
        <w:rPr>
          <w:rFonts w:hint="eastAsia" w:ascii="仿宋" w:hAnsi="仿宋" w:eastAsia="仿宋" w:cs="仿宋"/>
          <w:sz w:val="32"/>
          <w:szCs w:val="32"/>
          <w:lang w:val="zh-CN" w:eastAsia="zh-CN" w:bidi="zh-CN"/>
        </w:rPr>
        <w:t>%，主要原因是人员变动及一次性购房补贴</w:t>
      </w:r>
      <w:r>
        <w:rPr>
          <w:rFonts w:hint="eastAsia" w:cs="仿宋"/>
          <w:sz w:val="32"/>
          <w:szCs w:val="32"/>
          <w:lang w:val="en-US" w:eastAsia="zh-CN" w:bidi="zh-CN"/>
        </w:rPr>
        <w:t>增加</w:t>
      </w:r>
      <w:r>
        <w:rPr>
          <w:rFonts w:hint="eastAsia" w:ascii="仿宋" w:hAnsi="仿宋" w:eastAsia="仿宋" w:cs="仿宋"/>
          <w:sz w:val="32"/>
          <w:szCs w:val="32"/>
          <w:lang w:val="zh-CN"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ascii="仿宋" w:hAnsi="仿宋" w:eastAsia="仿宋" w:cs="仿宋"/>
          <w:sz w:val="32"/>
          <w:szCs w:val="32"/>
          <w:lang w:val="zh-CN" w:eastAsia="zh-CN" w:bidi="zh-CN"/>
        </w:rPr>
      </w:pPr>
      <w:r>
        <w:rPr>
          <w:rFonts w:hint="eastAsia" w:ascii="仿宋" w:hAnsi="仿宋" w:eastAsia="仿宋" w:cs="仿宋"/>
          <w:b/>
          <w:bCs/>
          <w:sz w:val="32"/>
          <w:szCs w:val="32"/>
          <w:lang w:val="zh-CN" w:eastAsia="zh-CN" w:bidi="zh-CN"/>
        </w:rPr>
        <w:t>（4）结余分配（非财政拨款结转）</w:t>
      </w:r>
      <w:r>
        <w:rPr>
          <w:rFonts w:hint="eastAsia" w:cs="仿宋"/>
          <w:b/>
          <w:bCs/>
          <w:sz w:val="32"/>
          <w:szCs w:val="32"/>
          <w:lang w:val="en-US" w:eastAsia="zh-CN" w:bidi="zh-CN"/>
        </w:rPr>
        <w:t>0</w:t>
      </w:r>
      <w:r>
        <w:rPr>
          <w:rFonts w:hint="eastAsia" w:ascii="仿宋" w:hAnsi="仿宋" w:eastAsia="仿宋" w:cs="仿宋"/>
          <w:b/>
          <w:bCs/>
          <w:sz w:val="32"/>
          <w:szCs w:val="32"/>
          <w:lang w:val="zh-CN" w:eastAsia="zh-CN" w:bidi="zh-CN"/>
        </w:rPr>
        <w:t>万元。</w:t>
      </w:r>
      <w:r>
        <w:rPr>
          <w:rFonts w:hint="eastAsia" w:ascii="仿宋" w:hAnsi="仿宋" w:eastAsia="仿宋" w:cs="仿宋"/>
          <w:sz w:val="32"/>
          <w:szCs w:val="32"/>
          <w:lang w:val="zh-CN" w:eastAsia="zh-CN" w:bidi="zh-CN"/>
        </w:rPr>
        <w:t>主要是本单位非财政拨款结余。比202</w:t>
      </w:r>
      <w:r>
        <w:rPr>
          <w:rFonts w:hint="eastAsia" w:cs="仿宋"/>
          <w:sz w:val="32"/>
          <w:szCs w:val="32"/>
          <w:lang w:val="en-US" w:eastAsia="zh-CN" w:bidi="zh-CN"/>
        </w:rPr>
        <w:t>1</w:t>
      </w:r>
      <w:r>
        <w:rPr>
          <w:rFonts w:hint="eastAsia" w:ascii="仿宋" w:hAnsi="仿宋" w:eastAsia="仿宋" w:cs="仿宋"/>
          <w:sz w:val="32"/>
          <w:szCs w:val="32"/>
          <w:lang w:val="zh-CN" w:eastAsia="zh-CN" w:bidi="zh-CN"/>
        </w:rPr>
        <w:t>年度决算数减少</w:t>
      </w:r>
      <w:r>
        <w:rPr>
          <w:rFonts w:hint="eastAsia" w:cs="仿宋"/>
          <w:sz w:val="32"/>
          <w:szCs w:val="32"/>
          <w:lang w:val="en-US" w:eastAsia="zh-CN" w:bidi="zh-CN"/>
        </w:rPr>
        <w:t>1.61</w:t>
      </w:r>
      <w:r>
        <w:rPr>
          <w:rFonts w:hint="eastAsia" w:ascii="仿宋" w:hAnsi="仿宋" w:eastAsia="仿宋" w:cs="仿宋"/>
          <w:sz w:val="32"/>
          <w:szCs w:val="32"/>
          <w:lang w:val="zh-CN" w:eastAsia="zh-CN" w:bidi="zh-CN"/>
        </w:rPr>
        <w:t xml:space="preserve">万元，降幅   </w:t>
      </w:r>
      <w:r>
        <w:rPr>
          <w:rFonts w:hint="eastAsia" w:cs="仿宋"/>
          <w:sz w:val="32"/>
          <w:szCs w:val="32"/>
          <w:lang w:val="en-US" w:eastAsia="zh-CN" w:bidi="zh-CN"/>
        </w:rPr>
        <w:t>100</w:t>
      </w:r>
      <w:r>
        <w:rPr>
          <w:rFonts w:hint="eastAsia" w:ascii="仿宋" w:hAnsi="仿宋" w:eastAsia="仿宋" w:cs="仿宋"/>
          <w:sz w:val="32"/>
          <w:szCs w:val="32"/>
          <w:lang w:val="zh-CN" w:eastAsia="zh-CN" w:bidi="zh-CN"/>
        </w:rPr>
        <w:t>%，主要原因是受新冠肺炎疫情的影响，收入减少，按照规定转入的非财政拨款结余减少。</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eastAsia="仿宋"/>
          <w:spacing w:val="-12"/>
          <w:sz w:val="32"/>
          <w:lang w:val="en-US" w:eastAsia="zh-CN"/>
        </w:rPr>
      </w:pPr>
      <w:r>
        <w:rPr>
          <w:rFonts w:hint="eastAsia" w:ascii="仿宋" w:hAnsi="仿宋" w:eastAsia="仿宋" w:cs="仿宋"/>
          <w:b/>
          <w:bCs/>
          <w:sz w:val="32"/>
          <w:szCs w:val="32"/>
          <w:lang w:val="zh-CN" w:eastAsia="zh-CN" w:bidi="zh-CN"/>
        </w:rPr>
        <w:t>（5）年末结转和结余（财政拨款结转）</w:t>
      </w:r>
      <w:r>
        <w:rPr>
          <w:rFonts w:hint="eastAsia" w:cs="仿宋"/>
          <w:b/>
          <w:bCs/>
          <w:sz w:val="32"/>
          <w:szCs w:val="32"/>
          <w:lang w:val="en-US" w:eastAsia="zh-CN" w:bidi="zh-CN"/>
        </w:rPr>
        <w:t>720.35</w:t>
      </w:r>
      <w:r>
        <w:rPr>
          <w:rFonts w:hint="eastAsia" w:ascii="仿宋" w:hAnsi="仿宋" w:eastAsia="仿宋" w:cs="仿宋"/>
          <w:b/>
          <w:bCs/>
          <w:sz w:val="32"/>
          <w:szCs w:val="32"/>
          <w:lang w:val="zh-CN" w:eastAsia="zh-CN" w:bidi="zh-CN"/>
        </w:rPr>
        <w:t>万元。</w:t>
      </w:r>
      <w:r>
        <w:rPr>
          <w:rFonts w:hint="eastAsia" w:ascii="仿宋" w:hAnsi="仿宋" w:eastAsia="仿宋" w:cs="仿宋"/>
          <w:sz w:val="32"/>
          <w:szCs w:val="32"/>
          <w:lang w:val="zh-CN" w:eastAsia="zh-CN" w:bidi="zh-CN"/>
        </w:rPr>
        <w:t>主要是基本支出及基建项目按规定结转的到下年继续使用的资金。比202</w:t>
      </w:r>
      <w:r>
        <w:rPr>
          <w:rFonts w:hint="eastAsia" w:cs="仿宋"/>
          <w:sz w:val="32"/>
          <w:szCs w:val="32"/>
          <w:lang w:val="en-US" w:eastAsia="zh-CN" w:bidi="zh-CN"/>
        </w:rPr>
        <w:t>1</w:t>
      </w:r>
      <w:r>
        <w:rPr>
          <w:rFonts w:hint="eastAsia" w:ascii="仿宋" w:hAnsi="仿宋" w:eastAsia="仿宋" w:cs="仿宋"/>
          <w:sz w:val="32"/>
          <w:szCs w:val="32"/>
          <w:lang w:val="zh-CN" w:eastAsia="zh-CN" w:bidi="zh-CN"/>
        </w:rPr>
        <w:t>年度决算数增加</w:t>
      </w:r>
      <w:r>
        <w:rPr>
          <w:rFonts w:hint="eastAsia" w:cs="仿宋"/>
          <w:sz w:val="32"/>
          <w:szCs w:val="32"/>
          <w:lang w:val="en-US" w:eastAsia="zh-CN" w:bidi="zh-CN"/>
        </w:rPr>
        <w:t>532.92</w:t>
      </w:r>
      <w:r>
        <w:rPr>
          <w:rFonts w:hint="eastAsia" w:ascii="仿宋" w:hAnsi="仿宋" w:eastAsia="仿宋" w:cs="仿宋"/>
          <w:sz w:val="32"/>
          <w:szCs w:val="32"/>
          <w:lang w:val="zh-CN" w:eastAsia="zh-CN" w:bidi="zh-CN"/>
        </w:rPr>
        <w:t>万元，增幅</w:t>
      </w:r>
      <w:r>
        <w:rPr>
          <w:rFonts w:hint="eastAsia" w:cs="仿宋"/>
          <w:sz w:val="32"/>
          <w:szCs w:val="32"/>
          <w:lang w:val="en-US" w:eastAsia="zh-CN" w:bidi="zh-CN"/>
        </w:rPr>
        <w:t>284.33</w:t>
      </w:r>
      <w:r>
        <w:rPr>
          <w:rFonts w:hint="eastAsia" w:ascii="仿宋" w:hAnsi="仿宋" w:eastAsia="仿宋" w:cs="仿宋"/>
          <w:sz w:val="32"/>
          <w:szCs w:val="32"/>
          <w:lang w:val="zh-CN" w:eastAsia="zh-CN" w:bidi="zh-CN"/>
        </w:rPr>
        <w:t>%，主要是新增及延续的基建项目结转资金增加。</w:t>
      </w:r>
      <w:r>
        <w:rPr>
          <w:rFonts w:hint="eastAsia"/>
          <w:sz w:val="32"/>
          <w:lang w:val="en-US" w:eastAsia="zh-CN"/>
        </w:rPr>
        <w:t xml:space="preserve"> </w:t>
      </w:r>
    </w:p>
    <w:p>
      <w:pPr>
        <w:pStyle w:val="3"/>
        <w:spacing w:before="217"/>
        <w:ind w:left="1244" w:right="1400"/>
        <w:jc w:val="center"/>
        <w:rPr>
          <w:rFonts w:hint="eastAsia"/>
        </w:rPr>
      </w:pPr>
    </w:p>
    <w:p>
      <w:pPr>
        <w:pStyle w:val="3"/>
        <w:spacing w:before="217"/>
        <w:ind w:left="1244" w:right="1400"/>
        <w:jc w:val="center"/>
        <w:rPr>
          <w:rFonts w:hint="eastAsia"/>
        </w:rPr>
      </w:pPr>
    </w:p>
    <w:p>
      <w:pPr>
        <w:pStyle w:val="3"/>
        <w:spacing w:before="217"/>
        <w:ind w:left="1244" w:right="1400"/>
        <w:jc w:val="center"/>
      </w:pPr>
      <w:r>
        <w:rPr>
          <w:rFonts w:hint="eastAsia"/>
        </w:rPr>
        <w:t>国资委研究中心</w:t>
      </w:r>
      <w:r>
        <w:t xml:space="preserve"> </w:t>
      </w:r>
      <w:r>
        <w:rPr>
          <w:rFonts w:hint="eastAsia" w:ascii="Times New Roman"/>
          <w:lang w:eastAsia="zh-CN"/>
        </w:rPr>
        <w:t>202</w:t>
      </w:r>
      <w:r>
        <w:rPr>
          <w:rFonts w:hint="eastAsia" w:ascii="Times New Roman"/>
          <w:lang w:val="en-US" w:eastAsia="zh-CN"/>
        </w:rPr>
        <w:t>2</w:t>
      </w:r>
      <w:r>
        <w:t>年度本年支出结构图</w:t>
      </w:r>
    </w:p>
    <w:p>
      <w:pPr>
        <w:pStyle w:val="4"/>
        <w:spacing w:before="8"/>
        <w:rPr>
          <w:rFonts w:ascii="宋体"/>
          <w:b/>
          <w:sz w:val="22"/>
        </w:rPr>
      </w:pPr>
    </w:p>
    <w:p>
      <w:pPr>
        <w:pStyle w:val="4"/>
        <w:spacing w:before="8"/>
        <w:rPr>
          <w:rFonts w:ascii="宋体"/>
          <w:b/>
          <w:sz w:val="22"/>
        </w:rPr>
      </w:pPr>
    </w:p>
    <w:p>
      <w:pPr>
        <w:pStyle w:val="3"/>
        <w:spacing w:before="0"/>
        <w:ind w:left="763"/>
        <w:rPr>
          <w:rFonts w:ascii="楷体" w:eastAsia="楷体"/>
        </w:rPr>
      </w:pPr>
      <w:bookmarkStart w:id="26" w:name="（二）一般公共预算财政拨款支出情况说明。"/>
      <w:bookmarkEnd w:id="26"/>
      <w:bookmarkStart w:id="27" w:name="_bookmark15"/>
      <w:bookmarkEnd w:id="27"/>
      <w:r>
        <w:rPr>
          <w:sz w:val="32"/>
        </w:rPr>
        <mc:AlternateContent>
          <mc:Choice Requires="wps">
            <w:drawing>
              <wp:anchor distT="0" distB="0" distL="114300" distR="114300" simplePos="0" relativeHeight="251660288" behindDoc="0" locked="0" layoutInCell="1" allowOverlap="1">
                <wp:simplePos x="0" y="0"/>
                <wp:positionH relativeFrom="column">
                  <wp:posOffset>4327525</wp:posOffset>
                </wp:positionH>
                <wp:positionV relativeFrom="paragraph">
                  <wp:posOffset>88265</wp:posOffset>
                </wp:positionV>
                <wp:extent cx="960755" cy="257175"/>
                <wp:effectExtent l="0" t="0" r="0" b="0"/>
                <wp:wrapNone/>
                <wp:docPr id="5" name="文本框 5"/>
                <wp:cNvGraphicFramePr/>
                <a:graphic xmlns:a="http://schemas.openxmlformats.org/drawingml/2006/main">
                  <a:graphicData uri="http://schemas.microsoft.com/office/word/2010/wordprocessingShape">
                    <wps:wsp>
                      <wps:cNvSpPr txBox="true"/>
                      <wps:spPr>
                        <a:xfrm>
                          <a:off x="5358130" y="6592570"/>
                          <a:ext cx="960755"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
                                <w:sz w:val="20"/>
                                <w:szCs w:val="20"/>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0.75pt;margin-top:6.95pt;height:20.25pt;width:75.65pt;z-index:251660288;mso-width-relative:page;mso-height-relative:page;" filled="f" stroked="f" coordsize="21600,21600" o:gfxdata="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DzwbF52gAAAAkBAAAPAAAAAAAAAAEA&#10;IAAAADgAAABkcnMvZG93bnJldi54bWxQSwECFAAUAAAACACHTuJAzKSV1DACAAA1BAAADgAAAAAA&#10;AAABACAAAAA/AQAAZHJzL2Uyb0RvYy54bWxQSwUGAAAAAAYABgBZAQAA4QUAAAAA&#10;">
                <v:fill on="f" focussize="0,0"/>
                <v:stroke on="f" weight="0.5pt"/>
                <v:imagedata o:title=""/>
                <o:lock v:ext="edit" aspectratio="f"/>
                <v:textbox>
                  <w:txbxContent>
                    <w:p>
                      <w:pPr>
                        <w:rPr>
                          <w:rFonts w:hint="eastAsia" w:eastAsia="仿宋"/>
                          <w:sz w:val="20"/>
                          <w:szCs w:val="20"/>
                          <w:lang w:eastAsia="zh-CN"/>
                        </w:rPr>
                      </w:pPr>
                    </w:p>
                  </w:txbxContent>
                </v:textbox>
              </v:shape>
            </w:pict>
          </mc:Fallback>
        </mc:AlternateContent>
      </w:r>
      <w:r>
        <w:rPr>
          <w:rFonts w:hint="eastAsia" w:ascii="楷体" w:eastAsia="宋体"/>
          <w:lang w:eastAsia="zh-CN"/>
        </w:rPr>
        <w:drawing>
          <wp:inline distT="0" distB="0" distL="114300" distR="114300">
            <wp:extent cx="5080000" cy="3810000"/>
            <wp:effectExtent l="4445" t="4445" r="8255" b="825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left="763"/>
        <w:jc w:val="both"/>
        <w:textAlignment w:val="auto"/>
        <w:rPr>
          <w:rFonts w:ascii="楷体" w:eastAsia="楷体"/>
        </w:rPr>
      </w:pPr>
      <w:r>
        <w:rPr>
          <w:rFonts w:hint="eastAsia" w:ascii="楷体" w:eastAsia="楷体"/>
        </w:rPr>
        <w:t>（二）一般公共预算财政拨款支出情况说明。</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0" w:firstLineChars="200"/>
        <w:jc w:val="both"/>
        <w:textAlignment w:val="auto"/>
        <w:rPr>
          <w:rFonts w:hint="eastAsia"/>
        </w:rPr>
      </w:pPr>
      <w:r>
        <w:rPr>
          <w:rFonts w:hint="eastAsia"/>
        </w:rPr>
        <w:t>国资委研究中心202</w:t>
      </w:r>
      <w:r>
        <w:rPr>
          <w:rFonts w:hint="eastAsia"/>
          <w:lang w:val="en-US" w:eastAsia="zh-CN"/>
        </w:rPr>
        <w:t>2</w:t>
      </w:r>
      <w:r>
        <w:rPr>
          <w:rFonts w:hint="eastAsia"/>
        </w:rPr>
        <w:t>年度一般公共预算财政拨款支出</w:t>
      </w:r>
      <w:r>
        <w:rPr>
          <w:rFonts w:hint="eastAsia"/>
          <w:lang w:val="en-US" w:eastAsia="zh-CN"/>
        </w:rPr>
        <w:t>716.13</w:t>
      </w:r>
      <w:r>
        <w:rPr>
          <w:rFonts w:hint="eastAsia"/>
        </w:rPr>
        <w:t xml:space="preserve"> 万元，具体情况如下：</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rPr>
      </w:pPr>
      <w:r>
        <w:rPr>
          <w:rFonts w:hint="eastAsia"/>
          <w:b/>
          <w:bCs/>
          <w:lang w:val="en-US" w:eastAsia="zh-CN"/>
        </w:rPr>
        <w:t>1.</w:t>
      </w:r>
      <w:r>
        <w:rPr>
          <w:rFonts w:hint="eastAsia"/>
          <w:b/>
          <w:bCs/>
        </w:rPr>
        <w:t>资源勘探工业信息等支出支出（类）国有资产监管支出（款）其他国有监管支出（项）</w:t>
      </w:r>
      <w:r>
        <w:rPr>
          <w:rFonts w:hint="eastAsia"/>
          <w:lang w:eastAsia="zh-CN"/>
        </w:rPr>
        <w:t>支出</w:t>
      </w:r>
      <w:r>
        <w:rPr>
          <w:rFonts w:hint="eastAsia"/>
          <w:lang w:val="en-US" w:eastAsia="zh-CN"/>
        </w:rPr>
        <w:t>593.04</w:t>
      </w:r>
      <w:r>
        <w:rPr>
          <w:rFonts w:hint="eastAsia"/>
        </w:rPr>
        <w:t>万元，主要是本单位的基本支出及项目支出。决算数小于预算数的主要原因是由于人员变动及新冠疫情的影响，相关项目及人员经费结转下年继续使用。</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rPr>
      </w:pPr>
      <w:r>
        <w:rPr>
          <w:rFonts w:hint="eastAsia"/>
          <w:b/>
          <w:bCs/>
        </w:rPr>
        <w:t>2.社会保障和就业支出（类）行政事业单位养老支出（款）机关事业单位基本养老保险缴费支出（项）</w:t>
      </w:r>
      <w:r>
        <w:rPr>
          <w:rFonts w:hint="eastAsia"/>
        </w:rPr>
        <w:t>支出</w:t>
      </w:r>
      <w:r>
        <w:rPr>
          <w:rFonts w:hint="eastAsia"/>
          <w:lang w:val="en-US" w:eastAsia="zh-CN"/>
        </w:rPr>
        <w:t>6.06</w:t>
      </w:r>
      <w:r>
        <w:rPr>
          <w:rFonts w:hint="eastAsia"/>
        </w:rPr>
        <w:t xml:space="preserve"> 万元，</w:t>
      </w:r>
      <w:r>
        <w:rPr>
          <w:rFonts w:hint="eastAsia"/>
          <w:lang w:eastAsia="zh-CN"/>
        </w:rPr>
        <w:t>主要是用于由</w:t>
      </w:r>
      <w:r>
        <w:rPr>
          <w:rFonts w:hint="eastAsia"/>
        </w:rPr>
        <w:t>单位缴纳的基本养老保险费支出。</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42" w:firstLineChars="200"/>
        <w:jc w:val="both"/>
        <w:textAlignment w:val="auto"/>
        <w:rPr>
          <w:rFonts w:hint="eastAsia"/>
        </w:rPr>
      </w:pPr>
      <w:r>
        <w:rPr>
          <w:rFonts w:hint="eastAsia"/>
          <w:b/>
          <w:bCs/>
        </w:rPr>
        <w:t>3.社会保障和就业支出（类）行政事业单位养老支出（款） 机关事业单位职业年金缴费支出（项）</w:t>
      </w:r>
      <w:r>
        <w:rPr>
          <w:rFonts w:hint="eastAsia"/>
        </w:rPr>
        <w:t>支出</w:t>
      </w:r>
      <w:r>
        <w:rPr>
          <w:rFonts w:hint="eastAsia"/>
          <w:lang w:val="en-US" w:eastAsia="zh-CN"/>
        </w:rPr>
        <w:t>11.54</w:t>
      </w:r>
      <w:r>
        <w:rPr>
          <w:rFonts w:hint="eastAsia"/>
        </w:rPr>
        <w:t>万元，主要是用于由单位缴纳的</w:t>
      </w:r>
      <w:r>
        <w:rPr>
          <w:rFonts w:hint="eastAsia"/>
          <w:lang w:val="en-US" w:eastAsia="zh-CN"/>
        </w:rPr>
        <w:t>职业年金</w:t>
      </w:r>
      <w:r>
        <w:rPr>
          <w:rFonts w:hint="eastAsia"/>
        </w:rPr>
        <w:t>支出。</w:t>
      </w:r>
    </w:p>
    <w:p>
      <w:pPr>
        <w:pStyle w:val="4"/>
        <w:keepNext w:val="0"/>
        <w:keepLines w:val="0"/>
        <w:pageBreakBefore w:val="0"/>
        <w:widowControl w:val="0"/>
        <w:kinsoku/>
        <w:wordWrap/>
        <w:overflowPunct/>
        <w:topLinePunct w:val="0"/>
        <w:autoSpaceDE w:val="0"/>
        <w:autoSpaceDN w:val="0"/>
        <w:bidi w:val="0"/>
        <w:adjustRightInd/>
        <w:snapToGrid/>
        <w:spacing w:before="211" w:line="640" w:lineRule="exact"/>
        <w:ind w:firstLine="614" w:firstLineChars="200"/>
        <w:jc w:val="both"/>
        <w:textAlignment w:val="auto"/>
        <w:rPr>
          <w:sz w:val="30"/>
          <w:szCs w:val="30"/>
        </w:rPr>
      </w:pPr>
      <w:r>
        <w:rPr>
          <w:rFonts w:hint="eastAsia"/>
          <w:b/>
          <w:spacing w:val="1"/>
          <w:w w:val="95"/>
          <w:sz w:val="32"/>
          <w:lang w:val="en-US" w:eastAsia="zh-CN"/>
        </w:rPr>
        <w:t>4.</w:t>
      </w:r>
      <w:r>
        <w:rPr>
          <w:b/>
          <w:spacing w:val="1"/>
          <w:w w:val="95"/>
          <w:sz w:val="32"/>
        </w:rPr>
        <w:t>住房保障支出</w:t>
      </w:r>
      <w:r>
        <w:rPr>
          <w:b/>
          <w:spacing w:val="5"/>
          <w:w w:val="95"/>
          <w:sz w:val="32"/>
        </w:rPr>
        <w:t>（</w:t>
      </w:r>
      <w:r>
        <w:rPr>
          <w:b/>
          <w:w w:val="95"/>
          <w:sz w:val="32"/>
        </w:rPr>
        <w:t>类</w:t>
      </w:r>
      <w:r>
        <w:rPr>
          <w:b/>
          <w:spacing w:val="5"/>
          <w:w w:val="95"/>
          <w:sz w:val="32"/>
        </w:rPr>
        <w:t>）</w:t>
      </w:r>
      <w:r>
        <w:rPr>
          <w:b/>
          <w:spacing w:val="1"/>
          <w:w w:val="95"/>
          <w:sz w:val="32"/>
        </w:rPr>
        <w:t>住房改革支出</w:t>
      </w:r>
      <w:r>
        <w:rPr>
          <w:b/>
          <w:spacing w:val="5"/>
          <w:w w:val="95"/>
          <w:sz w:val="32"/>
        </w:rPr>
        <w:t>（</w:t>
      </w:r>
      <w:r>
        <w:rPr>
          <w:b/>
          <w:w w:val="95"/>
          <w:sz w:val="32"/>
        </w:rPr>
        <w:t>款</w:t>
      </w:r>
      <w:r>
        <w:rPr>
          <w:b/>
          <w:spacing w:val="5"/>
          <w:w w:val="95"/>
          <w:sz w:val="32"/>
        </w:rPr>
        <w:t>）</w:t>
      </w:r>
      <w:r>
        <w:rPr>
          <w:b/>
          <w:spacing w:val="2"/>
          <w:w w:val="95"/>
          <w:sz w:val="32"/>
        </w:rPr>
        <w:t>住房公积</w:t>
      </w:r>
      <w:r>
        <w:rPr>
          <w:b/>
          <w:spacing w:val="-5"/>
          <w:sz w:val="32"/>
        </w:rPr>
        <w:t>金</w:t>
      </w:r>
      <w:r>
        <w:rPr>
          <w:b/>
          <w:sz w:val="32"/>
        </w:rPr>
        <w:t>（项</w:t>
      </w:r>
      <w:r>
        <w:rPr>
          <w:b/>
          <w:spacing w:val="-5"/>
          <w:sz w:val="32"/>
        </w:rPr>
        <w:t>）</w:t>
      </w:r>
      <w:r>
        <w:rPr>
          <w:spacing w:val="-30"/>
          <w:sz w:val="32"/>
        </w:rPr>
        <w:t>支出</w:t>
      </w:r>
      <w:r>
        <w:rPr>
          <w:rFonts w:hint="eastAsia"/>
          <w:spacing w:val="-30"/>
          <w:sz w:val="32"/>
          <w:lang w:val="en-US"/>
        </w:rPr>
        <w:t>6</w:t>
      </w:r>
      <w:r>
        <w:rPr>
          <w:rFonts w:hint="eastAsia"/>
          <w:spacing w:val="-30"/>
          <w:sz w:val="32"/>
          <w:lang w:val="en-US" w:eastAsia="zh-CN"/>
        </w:rPr>
        <w:t>2.56</w:t>
      </w:r>
      <w:r>
        <w:rPr>
          <w:spacing w:val="-3"/>
          <w:sz w:val="32"/>
        </w:rPr>
        <w:t>万元，主要是用于</w:t>
      </w:r>
      <w:r>
        <w:rPr>
          <w:rFonts w:hint="eastAsia"/>
          <w:spacing w:val="-3"/>
          <w:sz w:val="32"/>
        </w:rPr>
        <w:t>本</w:t>
      </w:r>
      <w:r>
        <w:rPr>
          <w:spacing w:val="-4"/>
          <w:sz w:val="32"/>
        </w:rPr>
        <w:t>单位按照有关政策为职工缴纳住房公积金的支出。</w:t>
      </w:r>
    </w:p>
    <w:p>
      <w:pPr>
        <w:pStyle w:val="3"/>
        <w:keepNext w:val="0"/>
        <w:keepLines w:val="0"/>
        <w:pageBreakBefore w:val="0"/>
        <w:widowControl w:val="0"/>
        <w:numPr>
          <w:ilvl w:val="0"/>
          <w:numId w:val="0"/>
        </w:numPr>
        <w:tabs>
          <w:tab w:val="left" w:pos="1325"/>
        </w:tabs>
        <w:kinsoku/>
        <w:wordWrap/>
        <w:overflowPunct/>
        <w:topLinePunct w:val="0"/>
        <w:autoSpaceDE w:val="0"/>
        <w:autoSpaceDN w:val="0"/>
        <w:bidi w:val="0"/>
        <w:adjustRightInd/>
        <w:snapToGrid/>
        <w:spacing w:before="212" w:line="640" w:lineRule="exact"/>
        <w:ind w:firstLine="646" w:firstLineChars="200"/>
        <w:jc w:val="both"/>
        <w:textAlignment w:val="auto"/>
        <w:rPr>
          <w:rFonts w:ascii="仿宋" w:hAnsi="仿宋" w:eastAsia="仿宋" w:cs="仿宋"/>
          <w:b w:val="0"/>
          <w:bCs w:val="0"/>
          <w:spacing w:val="-3"/>
          <w:sz w:val="32"/>
          <w:szCs w:val="22"/>
          <w:lang w:val="zh-CN" w:eastAsia="zh-CN" w:bidi="zh-CN"/>
        </w:rPr>
      </w:pPr>
      <w:r>
        <w:rPr>
          <w:rFonts w:hint="eastAsia" w:ascii="仿宋" w:eastAsia="仿宋"/>
          <w:spacing w:val="1"/>
          <w:lang w:val="en-US" w:eastAsia="zh-CN"/>
        </w:rPr>
        <w:t>6.</w:t>
      </w:r>
      <w:r>
        <w:rPr>
          <w:rFonts w:hint="eastAsia" w:ascii="仿宋" w:eastAsia="仿宋"/>
          <w:spacing w:val="1"/>
        </w:rPr>
        <w:t>住房保障支出</w:t>
      </w:r>
      <w:r>
        <w:rPr>
          <w:rFonts w:hint="eastAsia" w:ascii="仿宋" w:eastAsia="仿宋"/>
          <w:spacing w:val="5"/>
        </w:rPr>
        <w:t>（</w:t>
      </w:r>
      <w:r>
        <w:rPr>
          <w:rFonts w:hint="eastAsia" w:ascii="仿宋" w:eastAsia="仿宋"/>
        </w:rPr>
        <w:t>类</w:t>
      </w:r>
      <w:r>
        <w:rPr>
          <w:rFonts w:hint="eastAsia" w:ascii="仿宋" w:eastAsia="仿宋"/>
          <w:spacing w:val="5"/>
        </w:rPr>
        <w:t>）</w:t>
      </w:r>
      <w:r>
        <w:rPr>
          <w:rFonts w:hint="eastAsia" w:ascii="仿宋" w:eastAsia="仿宋"/>
          <w:spacing w:val="1"/>
        </w:rPr>
        <w:t>住房改革支出</w:t>
      </w:r>
      <w:r>
        <w:rPr>
          <w:rFonts w:hint="eastAsia" w:ascii="仿宋" w:eastAsia="仿宋"/>
          <w:spacing w:val="5"/>
        </w:rPr>
        <w:t>（</w:t>
      </w:r>
      <w:r>
        <w:rPr>
          <w:rFonts w:hint="eastAsia" w:ascii="仿宋" w:eastAsia="仿宋"/>
        </w:rPr>
        <w:t>款</w:t>
      </w:r>
      <w:r>
        <w:rPr>
          <w:rFonts w:hint="eastAsia" w:ascii="仿宋" w:eastAsia="仿宋"/>
          <w:spacing w:val="5"/>
        </w:rPr>
        <w:t>）</w:t>
      </w:r>
      <w:r>
        <w:rPr>
          <w:rFonts w:hint="eastAsia" w:ascii="仿宋" w:eastAsia="仿宋"/>
          <w:spacing w:val="2"/>
        </w:rPr>
        <w:t>提租补贴</w:t>
      </w:r>
      <w:r>
        <w:rPr>
          <w:b/>
        </w:rPr>
        <w:t>（项</w:t>
      </w:r>
      <w:r>
        <w:rPr>
          <w:b/>
          <w:spacing w:val="-7"/>
        </w:rPr>
        <w:t>）</w:t>
      </w:r>
      <w:r>
        <w:rPr>
          <w:rFonts w:ascii="仿宋" w:hAnsi="仿宋" w:eastAsia="仿宋" w:cs="仿宋"/>
          <w:b w:val="0"/>
          <w:bCs w:val="0"/>
          <w:spacing w:val="-3"/>
          <w:sz w:val="32"/>
          <w:szCs w:val="22"/>
          <w:lang w:val="zh-CN" w:eastAsia="zh-CN" w:bidi="zh-CN"/>
        </w:rPr>
        <w:t>支出</w:t>
      </w:r>
      <w:r>
        <w:rPr>
          <w:rFonts w:hint="eastAsia" w:ascii="仿宋" w:hAnsi="仿宋" w:eastAsia="仿宋" w:cs="仿宋"/>
          <w:b w:val="0"/>
          <w:bCs w:val="0"/>
          <w:spacing w:val="-3"/>
          <w:sz w:val="32"/>
          <w:szCs w:val="22"/>
          <w:lang w:val="en-US" w:eastAsia="zh-CN" w:bidi="zh-CN"/>
        </w:rPr>
        <w:t>5</w:t>
      </w:r>
      <w:r>
        <w:rPr>
          <w:rFonts w:ascii="仿宋" w:hAnsi="仿宋" w:eastAsia="仿宋" w:cs="仿宋"/>
          <w:b w:val="0"/>
          <w:bCs w:val="0"/>
          <w:spacing w:val="-3"/>
          <w:sz w:val="32"/>
          <w:szCs w:val="22"/>
          <w:lang w:val="zh-CN" w:eastAsia="zh-CN" w:bidi="zh-CN"/>
        </w:rPr>
        <w:t>万元，主要是用于按照《关于在京中央和国家机关行政事业单位提高房租增发补贴的通知》</w:t>
      </w:r>
      <w:r>
        <w:rPr>
          <w:rFonts w:hint="eastAsia" w:ascii="仿宋" w:hAnsi="仿宋" w:eastAsia="仿宋" w:cs="仿宋"/>
          <w:b w:val="0"/>
          <w:bCs w:val="0"/>
          <w:spacing w:val="-3"/>
          <w:sz w:val="32"/>
          <w:szCs w:val="22"/>
          <w:lang w:val="zh-CN" w:eastAsia="zh-CN" w:bidi="zh-CN"/>
        </w:rPr>
        <w:t>（</w:t>
      </w:r>
      <w:r>
        <w:rPr>
          <w:rFonts w:ascii="仿宋" w:hAnsi="仿宋" w:eastAsia="仿宋" w:cs="仿宋"/>
          <w:b w:val="0"/>
          <w:bCs w:val="0"/>
          <w:spacing w:val="-3"/>
          <w:sz w:val="32"/>
          <w:szCs w:val="22"/>
          <w:lang w:val="zh-CN" w:eastAsia="zh-CN" w:bidi="zh-CN"/>
        </w:rPr>
        <w:t>国管 房改字〔1999〕267 号）规定向职工发放提租补贴的支出。决算数与预算数持平。</w:t>
      </w:r>
    </w:p>
    <w:p>
      <w:pPr>
        <w:pStyle w:val="3"/>
        <w:keepNext w:val="0"/>
        <w:keepLines w:val="0"/>
        <w:pageBreakBefore w:val="0"/>
        <w:widowControl w:val="0"/>
        <w:numPr>
          <w:ilvl w:val="0"/>
          <w:numId w:val="0"/>
        </w:numPr>
        <w:tabs>
          <w:tab w:val="left" w:pos="1325"/>
        </w:tabs>
        <w:kinsoku/>
        <w:wordWrap/>
        <w:overflowPunct/>
        <w:topLinePunct w:val="0"/>
        <w:autoSpaceDE w:val="0"/>
        <w:autoSpaceDN w:val="0"/>
        <w:bidi w:val="0"/>
        <w:adjustRightInd/>
        <w:snapToGrid/>
        <w:spacing w:before="212" w:line="640" w:lineRule="exact"/>
        <w:ind w:firstLine="646" w:firstLineChars="200"/>
        <w:jc w:val="both"/>
        <w:textAlignment w:val="auto"/>
        <w:rPr>
          <w:rFonts w:ascii="仿宋" w:hAnsi="仿宋" w:eastAsia="仿宋" w:cs="仿宋"/>
          <w:b w:val="0"/>
          <w:bCs w:val="0"/>
          <w:spacing w:val="-3"/>
          <w:sz w:val="32"/>
          <w:szCs w:val="22"/>
          <w:lang w:val="zh-CN" w:eastAsia="zh-CN" w:bidi="zh-CN"/>
        </w:rPr>
      </w:pPr>
      <w:r>
        <w:rPr>
          <w:rFonts w:hint="eastAsia" w:ascii="仿宋" w:eastAsia="仿宋"/>
          <w:spacing w:val="1"/>
          <w:lang w:val="en-US" w:eastAsia="zh-CN"/>
        </w:rPr>
        <w:t>7.</w:t>
      </w:r>
      <w:r>
        <w:rPr>
          <w:rFonts w:hint="eastAsia" w:ascii="仿宋" w:eastAsia="仿宋"/>
          <w:spacing w:val="1"/>
        </w:rPr>
        <w:t>住房保障支出</w:t>
      </w:r>
      <w:r>
        <w:rPr>
          <w:rFonts w:hint="eastAsia" w:ascii="仿宋" w:eastAsia="仿宋"/>
          <w:spacing w:val="5"/>
        </w:rPr>
        <w:t>（</w:t>
      </w:r>
      <w:r>
        <w:rPr>
          <w:rFonts w:hint="eastAsia" w:ascii="仿宋" w:eastAsia="仿宋"/>
        </w:rPr>
        <w:t>类</w:t>
      </w:r>
      <w:r>
        <w:rPr>
          <w:rFonts w:hint="eastAsia" w:ascii="仿宋" w:eastAsia="仿宋"/>
          <w:spacing w:val="5"/>
        </w:rPr>
        <w:t>）</w:t>
      </w:r>
      <w:r>
        <w:rPr>
          <w:rFonts w:hint="eastAsia" w:ascii="仿宋" w:eastAsia="仿宋"/>
          <w:spacing w:val="1"/>
        </w:rPr>
        <w:t>住房改革支出</w:t>
      </w:r>
      <w:r>
        <w:rPr>
          <w:rFonts w:hint="eastAsia" w:ascii="仿宋" w:eastAsia="仿宋"/>
          <w:spacing w:val="5"/>
        </w:rPr>
        <w:t>（</w:t>
      </w:r>
      <w:r>
        <w:rPr>
          <w:rFonts w:hint="eastAsia" w:ascii="仿宋" w:eastAsia="仿宋"/>
        </w:rPr>
        <w:t>款</w:t>
      </w:r>
      <w:r>
        <w:rPr>
          <w:rFonts w:hint="eastAsia" w:ascii="仿宋" w:eastAsia="仿宋"/>
          <w:spacing w:val="5"/>
        </w:rPr>
        <w:t>）</w:t>
      </w:r>
      <w:r>
        <w:rPr>
          <w:rFonts w:hint="eastAsia" w:ascii="仿宋" w:eastAsia="仿宋"/>
          <w:spacing w:val="2"/>
        </w:rPr>
        <w:t>购房补贴</w:t>
      </w:r>
      <w:r>
        <w:rPr>
          <w:b/>
          <w:spacing w:val="9"/>
        </w:rPr>
        <w:t>（</w:t>
      </w:r>
      <w:r>
        <w:rPr>
          <w:b/>
          <w:spacing w:val="7"/>
        </w:rPr>
        <w:t>项</w:t>
      </w:r>
      <w:r>
        <w:rPr>
          <w:b/>
          <w:spacing w:val="9"/>
        </w:rPr>
        <w:t>）</w:t>
      </w:r>
      <w:r>
        <w:rPr>
          <w:rFonts w:ascii="仿宋" w:hAnsi="仿宋" w:eastAsia="仿宋" w:cs="仿宋"/>
          <w:b w:val="0"/>
          <w:bCs w:val="0"/>
          <w:spacing w:val="-3"/>
          <w:sz w:val="32"/>
          <w:szCs w:val="22"/>
          <w:lang w:val="zh-CN" w:eastAsia="zh-CN" w:bidi="zh-CN"/>
        </w:rPr>
        <w:t>支出</w:t>
      </w:r>
      <w:r>
        <w:rPr>
          <w:rFonts w:hint="eastAsia" w:ascii="仿宋" w:hAnsi="仿宋" w:eastAsia="仿宋" w:cs="仿宋"/>
          <w:b w:val="0"/>
          <w:bCs w:val="0"/>
          <w:spacing w:val="-3"/>
          <w:sz w:val="32"/>
          <w:szCs w:val="22"/>
          <w:lang w:val="en-US" w:eastAsia="zh-CN" w:bidi="zh-CN"/>
        </w:rPr>
        <w:t>37.93</w:t>
      </w:r>
      <w:r>
        <w:rPr>
          <w:rFonts w:ascii="仿宋" w:hAnsi="仿宋" w:eastAsia="仿宋" w:cs="仿宋"/>
          <w:b w:val="0"/>
          <w:bCs w:val="0"/>
          <w:spacing w:val="-3"/>
          <w:sz w:val="32"/>
          <w:szCs w:val="22"/>
          <w:lang w:val="zh-CN" w:eastAsia="zh-CN" w:bidi="zh-CN"/>
        </w:rPr>
        <w:t xml:space="preserve"> 万元，主要是用于</w:t>
      </w:r>
      <w:r>
        <w:rPr>
          <w:rFonts w:hint="eastAsia" w:ascii="仿宋" w:hAnsi="仿宋" w:eastAsia="仿宋" w:cs="仿宋"/>
          <w:b w:val="0"/>
          <w:bCs w:val="0"/>
          <w:spacing w:val="-3"/>
          <w:sz w:val="32"/>
          <w:szCs w:val="22"/>
          <w:lang w:val="zh-CN" w:eastAsia="zh-CN" w:bidi="zh-CN"/>
        </w:rPr>
        <w:t>本</w:t>
      </w:r>
      <w:r>
        <w:rPr>
          <w:rFonts w:ascii="仿宋" w:hAnsi="仿宋" w:eastAsia="仿宋" w:cs="仿宋"/>
          <w:b w:val="0"/>
          <w:bCs w:val="0"/>
          <w:spacing w:val="-3"/>
          <w:sz w:val="32"/>
          <w:szCs w:val="22"/>
          <w:lang w:val="zh-CN" w:eastAsia="zh-CN" w:bidi="zh-CN"/>
        </w:rPr>
        <w:t>单位按照国家有关政策向符合条件职工发放购房补贴的支出。</w:t>
      </w:r>
    </w:p>
    <w:p>
      <w:pPr>
        <w:pStyle w:val="3"/>
        <w:keepNext w:val="0"/>
        <w:keepLines w:val="0"/>
        <w:pageBreakBefore w:val="0"/>
        <w:widowControl w:val="0"/>
        <w:numPr>
          <w:ilvl w:val="0"/>
          <w:numId w:val="0"/>
        </w:numPr>
        <w:tabs>
          <w:tab w:val="left" w:pos="1325"/>
        </w:tabs>
        <w:kinsoku/>
        <w:wordWrap/>
        <w:overflowPunct/>
        <w:topLinePunct w:val="0"/>
        <w:autoSpaceDE w:val="0"/>
        <w:autoSpaceDN w:val="0"/>
        <w:bidi w:val="0"/>
        <w:adjustRightInd/>
        <w:snapToGrid/>
        <w:spacing w:before="212" w:line="640" w:lineRule="exact"/>
        <w:ind w:firstLine="628" w:firstLineChars="200"/>
        <w:jc w:val="both"/>
        <w:textAlignment w:val="auto"/>
        <w:rPr>
          <w:rFonts w:hint="eastAsia" w:ascii="仿宋" w:hAnsi="仿宋" w:eastAsia="仿宋" w:cs="仿宋"/>
          <w:b w:val="0"/>
          <w:bCs w:val="0"/>
          <w:spacing w:val="-3"/>
          <w:sz w:val="32"/>
          <w:szCs w:val="22"/>
          <w:lang w:val="zh-CN" w:eastAsia="zh-CN" w:bidi="zh-CN"/>
        </w:rPr>
      </w:pPr>
      <w:r>
        <w:rPr>
          <w:rFonts w:ascii="仿宋" w:hAnsi="仿宋" w:eastAsia="仿宋" w:cs="仿宋"/>
          <w:b w:val="0"/>
          <w:bCs w:val="0"/>
          <w:spacing w:val="-3"/>
          <w:sz w:val="32"/>
          <w:szCs w:val="22"/>
          <w:lang w:val="zh-CN" w:eastAsia="zh-CN" w:bidi="zh-CN"/>
        </w:rPr>
        <w:br w:type="page"/>
      </w:r>
    </w:p>
    <w:p>
      <w:pPr>
        <w:pStyle w:val="3"/>
        <w:keepNext w:val="0"/>
        <w:keepLines w:val="0"/>
        <w:pageBreakBefore w:val="0"/>
        <w:widowControl w:val="0"/>
        <w:kinsoku/>
        <w:wordWrap/>
        <w:overflowPunct/>
        <w:topLinePunct w:val="0"/>
        <w:autoSpaceDE w:val="0"/>
        <w:autoSpaceDN w:val="0"/>
        <w:bidi w:val="0"/>
        <w:adjustRightInd/>
        <w:snapToGrid/>
        <w:spacing w:before="44" w:line="640" w:lineRule="exact"/>
        <w:jc w:val="center"/>
        <w:textAlignment w:val="auto"/>
      </w:pPr>
      <w:r>
        <w:rPr>
          <w:rFonts w:hint="eastAsia"/>
          <w:spacing w:val="-22"/>
        </w:rPr>
        <w:t>国资委研究中心</w:t>
      </w:r>
      <w:r>
        <w:rPr>
          <w:spacing w:val="-22"/>
        </w:rPr>
        <w:t xml:space="preserve"> </w:t>
      </w:r>
      <w:r>
        <w:rPr>
          <w:rFonts w:hint="eastAsia" w:ascii="Times New Roman"/>
          <w:spacing w:val="-4"/>
          <w:lang w:eastAsia="zh-CN"/>
        </w:rPr>
        <w:t>202</w:t>
      </w:r>
      <w:r>
        <w:rPr>
          <w:rFonts w:hint="eastAsia" w:ascii="Times New Roman"/>
          <w:spacing w:val="-4"/>
          <w:lang w:val="en-US" w:eastAsia="zh-CN"/>
        </w:rPr>
        <w:t>2</w:t>
      </w:r>
      <w:r>
        <w:rPr>
          <w:spacing w:val="-12"/>
        </w:rPr>
        <w:t>年度一般公共预算财政拨款支出结构图</w:t>
      </w:r>
    </w:p>
    <w:p>
      <w:pPr>
        <w:pStyle w:val="4"/>
        <w:spacing w:before="10"/>
        <w:rPr>
          <w:rFonts w:ascii="宋体"/>
          <w:b/>
          <w:sz w:val="9"/>
        </w:rPr>
      </w:pPr>
    </w:p>
    <w:p>
      <w:pPr>
        <w:pStyle w:val="4"/>
        <w:spacing w:before="212" w:line="364" w:lineRule="auto"/>
        <w:ind w:left="283" w:right="120"/>
        <w:jc w:val="center"/>
        <w:rPr>
          <w:rFonts w:hint="eastAsia" w:eastAsia="仿宋"/>
          <w:lang w:eastAsia="zh-CN"/>
        </w:rPr>
      </w:pPr>
      <w:bookmarkStart w:id="28" w:name="_bookmark16"/>
      <w:bookmarkEnd w:id="28"/>
      <w:bookmarkStart w:id="29" w:name="（三）一般公共预算财政拨款“三公”经费支出情说明。"/>
      <w:bookmarkEnd w:id="29"/>
      <w:r>
        <w:rPr>
          <w:sz w:val="32"/>
        </w:rPr>
        <mc:AlternateContent>
          <mc:Choice Requires="wps">
            <w:drawing>
              <wp:anchor distT="0" distB="0" distL="114300" distR="114300" simplePos="0" relativeHeight="251661312" behindDoc="0" locked="0" layoutInCell="1" allowOverlap="1">
                <wp:simplePos x="0" y="0"/>
                <wp:positionH relativeFrom="column">
                  <wp:posOffset>4107180</wp:posOffset>
                </wp:positionH>
                <wp:positionV relativeFrom="paragraph">
                  <wp:posOffset>220980</wp:posOffset>
                </wp:positionV>
                <wp:extent cx="952500" cy="304800"/>
                <wp:effectExtent l="0" t="0" r="0" b="0"/>
                <wp:wrapNone/>
                <wp:docPr id="8" name="文本框 8"/>
                <wp:cNvGraphicFramePr/>
                <a:graphic xmlns:a="http://schemas.openxmlformats.org/drawingml/2006/main">
                  <a:graphicData uri="http://schemas.microsoft.com/office/word/2010/wordprocessingShape">
                    <wps:wsp>
                      <wps:cNvSpPr txBox="true"/>
                      <wps:spPr>
                        <a:xfrm>
                          <a:off x="5129530" y="1497965"/>
                          <a:ext cx="952500" cy="30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
                                <w:sz w:val="20"/>
                                <w:szCs w:val="20"/>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23.4pt;margin-top:17.4pt;height:24pt;width:75pt;z-index:251661312;mso-width-relative:page;mso-height-relative:page;" fillcolor="#FFFFFF [3201]" filled="t" stroked="f" coordsize="21600,21600" o:gfxdata="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DWJDGrV&#10;AAAACQEAAA8AAAAAAAAAAQAgAAAAOAAAAGRycy9kb3ducmV2LnhtbFBLAQIUABQAAAAIAIdO4kAp&#10;2++WRgIAAF4EAAAOAAAAAAAAAAEAIAAAADoBAABkcnMvZTJvRG9jLnhtbFBLBQYAAAAABgAGAFkB&#10;AADyBQAAAAA=&#10;">
                <v:fill on="t" focussize="0,0"/>
                <v:stroke on="f" weight="0.5pt"/>
                <v:imagedata o:title=""/>
                <o:lock v:ext="edit" aspectratio="f"/>
                <v:textbox>
                  <w:txbxContent>
                    <w:p>
                      <w:pPr>
                        <w:rPr>
                          <w:rFonts w:hint="eastAsia" w:eastAsia="仿宋"/>
                          <w:sz w:val="20"/>
                          <w:szCs w:val="20"/>
                          <w:lang w:eastAsia="zh-CN"/>
                        </w:rPr>
                      </w:pPr>
                    </w:p>
                  </w:txbxContent>
                </v:textbox>
              </v:shape>
            </w:pict>
          </mc:Fallback>
        </mc:AlternateContent>
      </w:r>
      <w:r>
        <w:rPr>
          <w:rFonts w:hint="eastAsia" w:eastAsia="仿宋"/>
          <w:lang w:eastAsia="zh-CN"/>
        </w:rPr>
        <w:drawing>
          <wp:inline distT="0" distB="0" distL="114300" distR="114300">
            <wp:extent cx="5080000" cy="3810000"/>
            <wp:effectExtent l="4445" t="4445" r="8255" b="825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before="125" w:line="640" w:lineRule="exact"/>
        <w:ind w:left="763"/>
        <w:textAlignment w:val="auto"/>
        <w:rPr>
          <w:rFonts w:ascii="楷体" w:eastAsia="楷体"/>
        </w:rPr>
      </w:pPr>
      <w:bookmarkStart w:id="30" w:name="（四）一般公共预算财政拨款基本支出情况说明。"/>
      <w:bookmarkEnd w:id="30"/>
      <w:bookmarkStart w:id="31" w:name="_bookmark17"/>
      <w:bookmarkEnd w:id="31"/>
      <w:r>
        <w:rPr>
          <w:rFonts w:hint="eastAsia" w:ascii="楷体" w:eastAsia="楷体"/>
        </w:rPr>
        <w:t>（三）一般公共预算财政拨款基本支出情况说明。</w:t>
      </w:r>
    </w:p>
    <w:p>
      <w:pPr>
        <w:pStyle w:val="4"/>
        <w:keepNext w:val="0"/>
        <w:keepLines w:val="0"/>
        <w:pageBreakBefore w:val="0"/>
        <w:widowControl w:val="0"/>
        <w:kinsoku/>
        <w:wordWrap/>
        <w:overflowPunct/>
        <w:topLinePunct w:val="0"/>
        <w:autoSpaceDE w:val="0"/>
        <w:autoSpaceDN w:val="0"/>
        <w:bidi w:val="0"/>
        <w:adjustRightInd/>
        <w:snapToGrid/>
        <w:spacing w:before="214" w:line="640" w:lineRule="exact"/>
        <w:ind w:firstLine="620" w:firstLineChars="200"/>
        <w:jc w:val="both"/>
        <w:textAlignment w:val="auto"/>
        <w:rPr>
          <w:rFonts w:ascii="仿宋" w:hAnsi="仿宋" w:eastAsia="仿宋" w:cs="仿宋"/>
          <w:spacing w:val="-5"/>
          <w:sz w:val="32"/>
          <w:szCs w:val="32"/>
          <w:lang w:val="zh-CN" w:eastAsia="zh-CN" w:bidi="zh-CN"/>
        </w:rPr>
      </w:pPr>
      <w:r>
        <w:rPr>
          <w:rFonts w:hint="eastAsia" w:ascii="仿宋" w:hAnsi="仿宋" w:eastAsia="仿宋" w:cs="仿宋"/>
          <w:spacing w:val="-5"/>
          <w:sz w:val="32"/>
          <w:szCs w:val="32"/>
          <w:lang w:val="zh-CN" w:eastAsia="zh-CN" w:bidi="zh-CN"/>
        </w:rPr>
        <w:t>国资委研究中心202</w:t>
      </w:r>
      <w:r>
        <w:rPr>
          <w:rFonts w:hint="eastAsia" w:cs="仿宋"/>
          <w:spacing w:val="-5"/>
          <w:sz w:val="32"/>
          <w:szCs w:val="32"/>
          <w:lang w:val="en-US" w:eastAsia="zh-CN" w:bidi="zh-CN"/>
        </w:rPr>
        <w:t>2</w:t>
      </w:r>
      <w:r>
        <w:rPr>
          <w:rFonts w:ascii="仿宋" w:hAnsi="仿宋" w:eastAsia="仿宋" w:cs="仿宋"/>
          <w:spacing w:val="-5"/>
          <w:sz w:val="32"/>
          <w:szCs w:val="32"/>
          <w:lang w:val="zh-CN" w:eastAsia="zh-CN" w:bidi="zh-CN"/>
        </w:rPr>
        <w:t>年度一般公共预算财政拨款基本支出</w:t>
      </w:r>
      <w:r>
        <w:rPr>
          <w:rFonts w:hint="eastAsia" w:ascii="仿宋" w:hAnsi="仿宋" w:eastAsia="仿宋" w:cs="仿宋"/>
          <w:spacing w:val="-5"/>
          <w:sz w:val="32"/>
          <w:szCs w:val="32"/>
          <w:lang w:val="en-US" w:eastAsia="zh-CN" w:bidi="zh-CN"/>
        </w:rPr>
        <w:t xml:space="preserve"> </w:t>
      </w:r>
      <w:r>
        <w:rPr>
          <w:rFonts w:hint="eastAsia" w:cs="仿宋"/>
          <w:spacing w:val="-5"/>
          <w:sz w:val="32"/>
          <w:szCs w:val="32"/>
          <w:lang w:val="en-US" w:eastAsia="zh-CN" w:bidi="zh-CN"/>
        </w:rPr>
        <w:t>451.29</w:t>
      </w:r>
      <w:r>
        <w:rPr>
          <w:rFonts w:ascii="仿宋" w:hAnsi="仿宋" w:eastAsia="仿宋" w:cs="仿宋"/>
          <w:spacing w:val="-5"/>
          <w:sz w:val="32"/>
          <w:szCs w:val="32"/>
          <w:lang w:val="zh-CN" w:eastAsia="zh-CN" w:bidi="zh-CN"/>
        </w:rPr>
        <w:t>万元。其中，人员经费</w:t>
      </w:r>
      <w:r>
        <w:rPr>
          <w:rFonts w:hint="eastAsia" w:cs="仿宋"/>
          <w:spacing w:val="-5"/>
          <w:sz w:val="32"/>
          <w:szCs w:val="32"/>
          <w:lang w:val="en-US" w:eastAsia="zh-CN" w:bidi="zh-CN"/>
        </w:rPr>
        <w:t>395.79</w:t>
      </w:r>
      <w:r>
        <w:rPr>
          <w:rFonts w:ascii="仿宋" w:hAnsi="仿宋" w:eastAsia="仿宋" w:cs="仿宋"/>
          <w:spacing w:val="-5"/>
          <w:sz w:val="32"/>
          <w:szCs w:val="32"/>
          <w:lang w:val="zh-CN" w:eastAsia="zh-CN" w:bidi="zh-CN"/>
        </w:rPr>
        <w:t>万元，主要包括：基本工资、津贴补贴、伙食补助费、绩效工资、机关事业单位基本养老保险缴费、职业年金缴费、住房公积金、其他工资福利支出、退休费、医疗费补助、其他对个人和家庭的补助支出；公用经费</w:t>
      </w:r>
      <w:r>
        <w:rPr>
          <w:rFonts w:hint="eastAsia" w:cs="仿宋"/>
          <w:spacing w:val="-5"/>
          <w:sz w:val="32"/>
          <w:szCs w:val="32"/>
          <w:lang w:val="en-US" w:eastAsia="zh-CN" w:bidi="zh-CN"/>
        </w:rPr>
        <w:t>55.5</w:t>
      </w:r>
      <w:r>
        <w:rPr>
          <w:rFonts w:ascii="仿宋" w:hAnsi="仿宋" w:eastAsia="仿宋" w:cs="仿宋"/>
          <w:spacing w:val="-5"/>
          <w:sz w:val="32"/>
          <w:szCs w:val="32"/>
          <w:lang w:val="zh-CN" w:eastAsia="zh-CN" w:bidi="zh-CN"/>
        </w:rPr>
        <w:t>万元，主要包括：办公费、印刷费、邮电费、物业管理费、差旅费、维修（护）费、租赁费</w:t>
      </w:r>
      <w:bookmarkStart w:id="32" w:name="_bookmark18"/>
      <w:bookmarkEnd w:id="32"/>
      <w:bookmarkStart w:id="33" w:name="（五）政府性基金预算财政拨款收支情况说明。"/>
      <w:bookmarkEnd w:id="33"/>
      <w:r>
        <w:rPr>
          <w:rFonts w:hint="eastAsia" w:ascii="仿宋" w:hAnsi="仿宋" w:eastAsia="仿宋" w:cs="仿宋"/>
          <w:spacing w:val="-5"/>
          <w:sz w:val="32"/>
          <w:szCs w:val="32"/>
          <w:lang w:val="zh-CN" w:eastAsia="zh-CN" w:bidi="zh-CN"/>
        </w:rPr>
        <w:t>等。</w:t>
      </w:r>
    </w:p>
    <w:p>
      <w:pPr>
        <w:pStyle w:val="4"/>
        <w:keepNext w:val="0"/>
        <w:keepLines w:val="0"/>
        <w:pageBreakBefore w:val="0"/>
        <w:widowControl w:val="0"/>
        <w:kinsoku/>
        <w:wordWrap/>
        <w:overflowPunct/>
        <w:topLinePunct w:val="0"/>
        <w:autoSpaceDE w:val="0"/>
        <w:autoSpaceDN w:val="0"/>
        <w:bidi w:val="0"/>
        <w:adjustRightInd/>
        <w:snapToGrid/>
        <w:spacing w:before="212" w:line="640" w:lineRule="exact"/>
        <w:ind w:right="118"/>
        <w:textAlignment w:val="auto"/>
        <w:rPr>
          <w:rFonts w:ascii="楷体" w:eastAsia="楷体"/>
        </w:rPr>
      </w:pPr>
      <w:r>
        <w:rPr>
          <w:rFonts w:hint="eastAsia" w:ascii="楷体" w:hAnsi="宋体" w:eastAsia="楷体" w:cs="宋体"/>
          <w:b/>
          <w:bCs/>
          <w:lang w:val="en-US"/>
        </w:rPr>
        <w:t xml:space="preserve">   </w:t>
      </w:r>
      <w:r>
        <w:rPr>
          <w:rFonts w:hint="eastAsia" w:ascii="楷体" w:hAnsi="宋体" w:eastAsia="楷体" w:cs="宋体"/>
          <w:b/>
          <w:bCs/>
          <w:lang w:val="en-US" w:eastAsia="zh-CN"/>
        </w:rPr>
        <w:t xml:space="preserve"> </w:t>
      </w:r>
      <w:r>
        <w:rPr>
          <w:rFonts w:hint="eastAsia" w:ascii="楷体" w:eastAsia="楷体"/>
          <w:b/>
          <w:bCs/>
        </w:rPr>
        <w:t>（四）一般公共预算财政拨款“三公”经费支出情</w:t>
      </w:r>
      <w:r>
        <w:rPr>
          <w:rFonts w:hint="eastAsia" w:ascii="楷体" w:eastAsia="楷体"/>
          <w:b/>
          <w:bCs/>
          <w:lang w:eastAsia="zh-CN"/>
        </w:rPr>
        <w:t>况</w:t>
      </w:r>
      <w:r>
        <w:rPr>
          <w:rFonts w:hint="eastAsia" w:ascii="楷体" w:eastAsia="楷体"/>
          <w:b/>
          <w:bCs/>
        </w:rPr>
        <w:t>说明</w:t>
      </w:r>
      <w:r>
        <w:rPr>
          <w:rFonts w:hint="eastAsia" w:ascii="楷体" w:eastAsia="楷体"/>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20" w:firstLineChars="200"/>
        <w:textAlignment w:val="auto"/>
        <w:rPr>
          <w:spacing w:val="-5"/>
          <w:sz w:val="32"/>
          <w:szCs w:val="32"/>
        </w:rPr>
      </w:pPr>
      <w:r>
        <w:rPr>
          <w:spacing w:val="-5"/>
          <w:sz w:val="32"/>
          <w:szCs w:val="32"/>
        </w:rPr>
        <w:t>国资委研究中心202</w:t>
      </w:r>
      <w:r>
        <w:rPr>
          <w:rFonts w:hint="eastAsia"/>
          <w:spacing w:val="-5"/>
          <w:sz w:val="32"/>
          <w:szCs w:val="32"/>
          <w:lang w:val="en-US" w:eastAsia="zh-CN"/>
        </w:rPr>
        <w:t>2</w:t>
      </w:r>
      <w:r>
        <w:rPr>
          <w:spacing w:val="-5"/>
          <w:sz w:val="32"/>
          <w:szCs w:val="32"/>
        </w:rPr>
        <w:t>年</w:t>
      </w:r>
      <w:r>
        <w:rPr>
          <w:rFonts w:hint="eastAsia"/>
          <w:spacing w:val="-5"/>
          <w:sz w:val="32"/>
          <w:szCs w:val="32"/>
        </w:rPr>
        <w:t>“</w:t>
      </w:r>
      <w:r>
        <w:rPr>
          <w:spacing w:val="-5"/>
          <w:sz w:val="32"/>
          <w:szCs w:val="32"/>
        </w:rPr>
        <w:t>三公</w:t>
      </w:r>
      <w:r>
        <w:rPr>
          <w:rFonts w:hint="eastAsia"/>
          <w:spacing w:val="-5"/>
          <w:sz w:val="32"/>
          <w:szCs w:val="32"/>
        </w:rPr>
        <w:t>”</w:t>
      </w:r>
      <w:r>
        <w:rPr>
          <w:spacing w:val="-5"/>
          <w:sz w:val="32"/>
          <w:szCs w:val="32"/>
        </w:rPr>
        <w:t>经费</w:t>
      </w:r>
      <w:r>
        <w:rPr>
          <w:rFonts w:hint="eastAsia"/>
          <w:spacing w:val="-5"/>
          <w:sz w:val="32"/>
          <w:szCs w:val="32"/>
        </w:rPr>
        <w:t>支出为</w:t>
      </w:r>
      <w:r>
        <w:rPr>
          <w:spacing w:val="-5"/>
          <w:sz w:val="32"/>
          <w:szCs w:val="32"/>
        </w:rPr>
        <w:t>0万元。按照党中央、国务院关于过紧日子的有关要求，厉行节约办一切事业，本年度不安排</w:t>
      </w:r>
      <w:r>
        <w:rPr>
          <w:rFonts w:hint="eastAsia"/>
          <w:spacing w:val="-5"/>
          <w:sz w:val="32"/>
          <w:szCs w:val="32"/>
        </w:rPr>
        <w:t>“</w:t>
      </w:r>
      <w:r>
        <w:rPr>
          <w:spacing w:val="-5"/>
          <w:sz w:val="32"/>
          <w:szCs w:val="32"/>
        </w:rPr>
        <w:t>三公</w:t>
      </w:r>
      <w:r>
        <w:rPr>
          <w:rFonts w:hint="eastAsia"/>
          <w:spacing w:val="-5"/>
          <w:sz w:val="32"/>
          <w:szCs w:val="32"/>
        </w:rPr>
        <w:t>”</w:t>
      </w:r>
      <w:r>
        <w:rPr>
          <w:spacing w:val="-5"/>
          <w:sz w:val="32"/>
          <w:szCs w:val="32"/>
        </w:rPr>
        <w:t>经费。</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firstLine="642" w:firstLineChars="200"/>
        <w:textAlignment w:val="auto"/>
        <w:rPr>
          <w:rFonts w:ascii="楷体" w:eastAsia="楷体"/>
        </w:rPr>
      </w:pPr>
      <w:bookmarkStart w:id="34" w:name="（六）国有资本经营预算财政拨款支出情况说明。"/>
      <w:bookmarkEnd w:id="34"/>
      <w:bookmarkStart w:id="35" w:name="_bookmark19"/>
      <w:bookmarkEnd w:id="35"/>
      <w:bookmarkStart w:id="36" w:name="_bookmark20"/>
      <w:bookmarkEnd w:id="36"/>
      <w:bookmarkStart w:id="37" w:name="（七）关于预算绩效情况的说明。"/>
      <w:bookmarkEnd w:id="37"/>
      <w:r>
        <w:rPr>
          <w:rFonts w:hint="eastAsia" w:ascii="楷体" w:eastAsia="楷体"/>
        </w:rPr>
        <w:t>（</w:t>
      </w:r>
      <w:r>
        <w:rPr>
          <w:rFonts w:hint="eastAsia" w:ascii="楷体" w:eastAsia="楷体"/>
          <w:lang w:eastAsia="zh-CN"/>
        </w:rPr>
        <w:t>五</w:t>
      </w:r>
      <w:r>
        <w:rPr>
          <w:rFonts w:hint="eastAsia" w:ascii="楷体" w:eastAsia="楷体"/>
        </w:rPr>
        <w:t>）其他重要事项的情况说明。</w:t>
      </w:r>
    </w:p>
    <w:p>
      <w:pPr>
        <w:pStyle w:val="4"/>
        <w:keepNext w:val="0"/>
        <w:keepLines w:val="0"/>
        <w:pageBreakBefore w:val="0"/>
        <w:widowControl w:val="0"/>
        <w:kinsoku/>
        <w:wordWrap/>
        <w:overflowPunct/>
        <w:topLinePunct w:val="0"/>
        <w:autoSpaceDE w:val="0"/>
        <w:autoSpaceDN w:val="0"/>
        <w:bidi w:val="0"/>
        <w:adjustRightInd/>
        <w:snapToGrid/>
        <w:spacing w:before="214" w:line="640" w:lineRule="exact"/>
        <w:ind w:firstLine="642" w:firstLineChars="200"/>
        <w:jc w:val="both"/>
        <w:textAlignment w:val="auto"/>
        <w:rPr>
          <w:highlight w:val="none"/>
        </w:rPr>
      </w:pPr>
      <w:r>
        <w:rPr>
          <w:rFonts w:hint="eastAsia" w:ascii="楷体" w:hAnsi="宋体" w:eastAsia="楷体" w:cs="宋体"/>
          <w:b/>
          <w:bCs/>
        </w:rPr>
        <w:t>关于政府采购支出：</w:t>
      </w:r>
      <w:r>
        <w:rPr>
          <w:rFonts w:hint="eastAsia"/>
          <w:highlight w:val="none"/>
        </w:rPr>
        <w:t>国资委研究中心</w:t>
      </w:r>
      <w:r>
        <w:rPr>
          <w:rFonts w:hint="eastAsia"/>
          <w:highlight w:val="none"/>
          <w:lang w:eastAsia="zh-CN"/>
        </w:rPr>
        <w:t>202</w:t>
      </w:r>
      <w:r>
        <w:rPr>
          <w:rFonts w:hint="eastAsia"/>
          <w:highlight w:val="none"/>
          <w:lang w:val="en-US" w:eastAsia="zh-CN"/>
        </w:rPr>
        <w:t>2</w:t>
      </w:r>
      <w:r>
        <w:rPr>
          <w:rFonts w:hint="eastAsia"/>
          <w:highlight w:val="none"/>
        </w:rPr>
        <w:t>年度政府采购支出总额</w:t>
      </w:r>
      <w:r>
        <w:rPr>
          <w:rFonts w:hint="eastAsia"/>
          <w:highlight w:val="none"/>
          <w:lang w:val="en-US" w:eastAsia="zh-CN"/>
        </w:rPr>
        <w:t>207.33</w:t>
      </w:r>
      <w:r>
        <w:rPr>
          <w:rFonts w:hint="eastAsia"/>
          <w:highlight w:val="none"/>
        </w:rPr>
        <w:t>万元。其中，政府采购货物支出</w:t>
      </w:r>
      <w:r>
        <w:rPr>
          <w:rFonts w:hint="eastAsia"/>
          <w:highlight w:val="none"/>
          <w:lang w:val="en-US" w:eastAsia="zh-CN"/>
        </w:rPr>
        <w:t>2.52</w:t>
      </w:r>
      <w:r>
        <w:rPr>
          <w:rFonts w:hint="eastAsia"/>
          <w:highlight w:val="none"/>
        </w:rPr>
        <w:t>万元、政府采购服务支出</w:t>
      </w:r>
      <w:r>
        <w:rPr>
          <w:rFonts w:hint="eastAsia"/>
          <w:highlight w:val="none"/>
          <w:lang w:val="en-US" w:eastAsia="zh-CN"/>
        </w:rPr>
        <w:t>204.81</w:t>
      </w:r>
      <w:r>
        <w:rPr>
          <w:rFonts w:hint="eastAsia"/>
          <w:highlight w:val="none"/>
        </w:rPr>
        <w:t>万元。</w:t>
      </w:r>
    </w:p>
    <w:p>
      <w:pPr>
        <w:keepNext w:val="0"/>
        <w:keepLines w:val="0"/>
        <w:pageBreakBefore w:val="0"/>
        <w:widowControl w:val="0"/>
        <w:kinsoku/>
        <w:wordWrap/>
        <w:overflowPunct/>
        <w:topLinePunct w:val="0"/>
        <w:autoSpaceDE w:val="0"/>
        <w:autoSpaceDN w:val="0"/>
        <w:bidi w:val="0"/>
        <w:adjustRightInd/>
        <w:snapToGrid/>
        <w:spacing w:line="640" w:lineRule="exact"/>
        <w:ind w:firstLine="642" w:firstLineChars="200"/>
        <w:jc w:val="both"/>
        <w:textAlignment w:val="auto"/>
        <w:rPr>
          <w:rFonts w:hint="eastAsia"/>
          <w:spacing w:val="-11"/>
          <w:sz w:val="32"/>
          <w:szCs w:val="32"/>
        </w:rPr>
      </w:pPr>
      <w:r>
        <w:rPr>
          <w:rFonts w:hint="eastAsia" w:ascii="楷体" w:hAnsi="宋体" w:eastAsia="楷体" w:cs="宋体"/>
          <w:b/>
          <w:bCs/>
          <w:sz w:val="32"/>
          <w:szCs w:val="32"/>
        </w:rPr>
        <w:t>关于国有资产占用情况：</w:t>
      </w:r>
      <w:r>
        <w:rPr>
          <w:rFonts w:hint="eastAsia"/>
          <w:spacing w:val="-11"/>
          <w:sz w:val="32"/>
          <w:szCs w:val="32"/>
        </w:rPr>
        <w:t>截至202</w:t>
      </w:r>
      <w:r>
        <w:rPr>
          <w:rFonts w:hint="eastAsia"/>
          <w:spacing w:val="-11"/>
          <w:sz w:val="32"/>
          <w:szCs w:val="32"/>
          <w:lang w:val="en-US" w:eastAsia="zh-CN"/>
        </w:rPr>
        <w:t>2</w:t>
      </w:r>
      <w:r>
        <w:rPr>
          <w:rFonts w:hint="eastAsia"/>
          <w:spacing w:val="-11"/>
          <w:sz w:val="32"/>
          <w:szCs w:val="32"/>
        </w:rPr>
        <w:t>年12月31日，国资委研究中心无公务用车；单位价值50万元及以上通用设备0台（套）；单位价值100万元及以上专用设备0台（套）。</w:t>
      </w:r>
    </w:p>
    <w:p>
      <w:pPr>
        <w:pStyle w:val="3"/>
        <w:keepNext w:val="0"/>
        <w:keepLines w:val="0"/>
        <w:pageBreakBefore w:val="0"/>
        <w:widowControl w:val="0"/>
        <w:kinsoku/>
        <w:wordWrap/>
        <w:overflowPunct/>
        <w:topLinePunct w:val="0"/>
        <w:autoSpaceDE w:val="0"/>
        <w:autoSpaceDN w:val="0"/>
        <w:bidi w:val="0"/>
        <w:adjustRightInd/>
        <w:snapToGrid/>
        <w:spacing w:before="0" w:line="640" w:lineRule="exact"/>
        <w:ind w:firstLine="642" w:firstLineChars="200"/>
        <w:textAlignment w:val="auto"/>
        <w:rPr>
          <w:rFonts w:ascii="楷体" w:eastAsia="楷体"/>
        </w:rPr>
      </w:pPr>
      <w:r>
        <w:rPr>
          <w:rFonts w:hint="eastAsia" w:ascii="楷体" w:eastAsia="楷体"/>
        </w:rPr>
        <w:t>（</w:t>
      </w:r>
      <w:r>
        <w:rPr>
          <w:rFonts w:hint="eastAsia" w:ascii="楷体" w:eastAsia="楷体"/>
          <w:lang w:eastAsia="zh-CN"/>
        </w:rPr>
        <w:t>六</w:t>
      </w:r>
      <w:r>
        <w:rPr>
          <w:rFonts w:hint="eastAsia" w:ascii="楷体" w:eastAsia="楷体"/>
        </w:rPr>
        <w:t>）关于预算绩效情况的说明。</w:t>
      </w:r>
    </w:p>
    <w:p>
      <w:pPr>
        <w:keepNext w:val="0"/>
        <w:keepLines w:val="0"/>
        <w:pageBreakBefore w:val="0"/>
        <w:widowControl w:val="0"/>
        <w:kinsoku/>
        <w:wordWrap/>
        <w:overflowPunct/>
        <w:topLinePunct w:val="0"/>
        <w:autoSpaceDE w:val="0"/>
        <w:autoSpaceDN w:val="0"/>
        <w:bidi w:val="0"/>
        <w:adjustRightInd/>
        <w:snapToGrid/>
        <w:spacing w:line="640" w:lineRule="exact"/>
        <w:ind w:firstLine="596" w:firstLineChars="200"/>
        <w:jc w:val="both"/>
        <w:textAlignment w:val="auto"/>
        <w:rPr>
          <w:rFonts w:hint="eastAsia" w:eastAsia="仿宋"/>
          <w:spacing w:val="-11"/>
          <w:sz w:val="32"/>
          <w:szCs w:val="32"/>
          <w:lang w:eastAsia="zh-CN"/>
        </w:rPr>
      </w:pPr>
      <w:r>
        <w:rPr>
          <w:rFonts w:hint="eastAsia"/>
          <w:spacing w:val="-11"/>
          <w:sz w:val="32"/>
          <w:szCs w:val="32"/>
          <w:lang w:eastAsia="zh-CN"/>
        </w:rPr>
        <w:t>略。</w:t>
      </w:r>
    </w:p>
    <w:p>
      <w:pPr>
        <w:spacing w:line="360" w:lineRule="auto"/>
        <w:ind w:firstLine="596" w:firstLineChars="200"/>
        <w:jc w:val="both"/>
        <w:rPr>
          <w:rFonts w:hint="eastAsia"/>
          <w:spacing w:val="-11"/>
          <w:sz w:val="32"/>
          <w:szCs w:val="32"/>
        </w:rPr>
        <w:sectPr>
          <w:footerReference r:id="rId9" w:type="default"/>
          <w:type w:val="continuous"/>
          <w:pgSz w:w="11910" w:h="16840"/>
          <w:pgMar w:top="1380" w:right="1520" w:bottom="1380" w:left="1580" w:header="0" w:footer="1200" w:gutter="0"/>
          <w:cols w:space="720" w:num="1"/>
        </w:sectPr>
      </w:pPr>
    </w:p>
    <w:p>
      <w:pPr>
        <w:pStyle w:val="4"/>
        <w:spacing w:line="409" w:lineRule="exact"/>
        <w:ind w:firstLine="640" w:firstLineChars="200"/>
        <w:rPr>
          <w:rFonts w:ascii="黑体" w:eastAsia="黑体"/>
        </w:rPr>
      </w:pPr>
      <w:bookmarkStart w:id="38" w:name="_bookmark22"/>
      <w:bookmarkEnd w:id="38"/>
      <w:bookmarkStart w:id="39" w:name="四、名词解释"/>
      <w:bookmarkEnd w:id="39"/>
      <w:r>
        <w:rPr>
          <w:rFonts w:hint="eastAsia" w:ascii="黑体" w:eastAsia="黑体"/>
        </w:rPr>
        <w:t>四、名词解释</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（一）一般公共预算拨款收入：</w:t>
      </w:r>
      <w:r>
        <w:rPr>
          <w:rFonts w:hint="eastAsia" w:ascii="仿宋" w:hAnsi="仿宋" w:eastAsia="仿宋" w:cs="仿宋"/>
          <w:sz w:val="30"/>
          <w:szCs w:val="30"/>
        </w:rPr>
        <w:t>指中央财政当年拨付的资金。</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（二）事业收入</w:t>
      </w:r>
      <w:r>
        <w:rPr>
          <w:rFonts w:hint="eastAsia" w:ascii="仿宋" w:hAnsi="仿宋" w:eastAsia="仿宋" w:cs="仿宋"/>
          <w:sz w:val="30"/>
          <w:szCs w:val="30"/>
        </w:rPr>
        <w:t>：指事业单位开展专业业务活动及辅助活动所取得的收入等。</w:t>
      </w:r>
    </w:p>
    <w:p>
      <w:pPr>
        <w:spacing w:line="640" w:lineRule="exact"/>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（三）其他收入：</w:t>
      </w:r>
      <w:r>
        <w:rPr>
          <w:rFonts w:hint="eastAsia" w:ascii="仿宋" w:hAnsi="仿宋" w:eastAsia="仿宋" w:cs="仿宋"/>
          <w:sz w:val="30"/>
          <w:szCs w:val="30"/>
        </w:rPr>
        <w:t>指除上述“财政拨款收入”、“事业收入”、“事业单位经营收入”等以外的收入，主要是按规定动用的售房收入、存款利息收入等。</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（四）年初结转结余：</w:t>
      </w:r>
      <w:r>
        <w:rPr>
          <w:rFonts w:hint="eastAsia" w:ascii="仿宋" w:hAnsi="仿宋" w:eastAsia="仿宋" w:cs="仿宋"/>
          <w:sz w:val="30"/>
          <w:szCs w:val="30"/>
        </w:rPr>
        <w:t>指以前年度尚未完成、结转到本年仍按原规定用途继续使用的资金。</w:t>
      </w:r>
    </w:p>
    <w:p>
      <w:pPr>
        <w:spacing w:line="640" w:lineRule="exact"/>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（五）社会保障和就业支出（类）行政事业单位养老支出（款）事业单位离退休（项）：</w:t>
      </w:r>
      <w:r>
        <w:rPr>
          <w:rFonts w:hint="eastAsia" w:ascii="仿宋" w:hAnsi="仿宋" w:eastAsia="仿宋" w:cs="仿宋"/>
          <w:sz w:val="30"/>
          <w:szCs w:val="30"/>
        </w:rPr>
        <w:t>反映国资委研究中心离退休人员的经费支出。</w:t>
      </w:r>
    </w:p>
    <w:p>
      <w:pPr>
        <w:spacing w:line="640" w:lineRule="exact"/>
        <w:ind w:firstLine="602" w:firstLineChars="200"/>
        <w:jc w:val="both"/>
        <w:rPr>
          <w:rFonts w:hint="eastAsia" w:ascii="仿宋" w:hAnsi="仿宋" w:eastAsia="仿宋" w:cs="仿宋"/>
          <w:b/>
          <w:sz w:val="30"/>
          <w:szCs w:val="30"/>
        </w:rPr>
      </w:pPr>
      <w:r>
        <w:rPr>
          <w:rFonts w:hint="eastAsia" w:ascii="仿宋" w:hAnsi="仿宋" w:eastAsia="仿宋" w:cs="仿宋"/>
          <w:b/>
          <w:sz w:val="30"/>
          <w:szCs w:val="30"/>
        </w:rPr>
        <w:t>（六）社会保障和就业支出（类）行政事业单位养老支出（款）机关事业单位基本养老保险缴费支出（项）：</w:t>
      </w:r>
      <w:r>
        <w:rPr>
          <w:rFonts w:hint="eastAsia" w:ascii="仿宋" w:hAnsi="仿宋" w:eastAsia="仿宋" w:cs="仿宋"/>
          <w:sz w:val="30"/>
          <w:szCs w:val="30"/>
        </w:rPr>
        <w:t>反映国资委研究中心实施养老保险制度由单位缴纳的基本养老保险费支出。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（七）社会保障和就业支出（类）行政事业单位养老支出（款）机关事业单位职业年金缴费支出（项）：</w:t>
      </w:r>
      <w:r>
        <w:rPr>
          <w:rFonts w:hint="eastAsia" w:ascii="仿宋" w:hAnsi="仿宋" w:eastAsia="仿宋" w:cs="仿宋"/>
          <w:sz w:val="30"/>
          <w:szCs w:val="30"/>
        </w:rPr>
        <w:t>反映国资委研究中心机关实施养老保险制度由单位缴纳的职业年金支出。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（八）资源勘探工业信息等支出（类）国有资产监管（款）其他国有资产监管支出（项）：</w:t>
      </w:r>
      <w:r>
        <w:rPr>
          <w:rFonts w:hint="eastAsia" w:ascii="仿宋" w:hAnsi="仿宋" w:eastAsia="仿宋" w:cs="仿宋"/>
          <w:sz w:val="30"/>
          <w:szCs w:val="30"/>
        </w:rPr>
        <w:t>反映国资委研究中心用于研究国有资产监管、国有企业改革发展和国有经济结构调整理论和实践方面的支出。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（九）住房保障支出（类）住房改革支出（款）住房公积金（项）：</w:t>
      </w:r>
      <w:r>
        <w:rPr>
          <w:rFonts w:hint="eastAsia" w:ascii="仿宋" w:hAnsi="仿宋" w:eastAsia="仿宋" w:cs="仿宋"/>
          <w:sz w:val="30"/>
          <w:szCs w:val="30"/>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单位缴存基数包括国家统一规定的岗位工资、薪级工资、绩效工资等。</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（十）住房保障支出（类）住房改革支出（款）提租补贴（项）：</w:t>
      </w:r>
      <w:r>
        <w:rPr>
          <w:rFonts w:hint="eastAsia" w:ascii="仿宋" w:hAnsi="仿宋" w:eastAsia="仿宋" w:cs="仿宋"/>
          <w:sz w:val="30"/>
          <w:szCs w:val="30"/>
        </w:rPr>
        <w:t>指经国务院批准，于2000年开始针对在京中央单位公有住房租金标准提高发放的补贴，中央在京单位按照在编职工人数和离退休人数以及相应职级的补贴标准确定，人均月补贴90元。</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（十一）住房保障支出（类）住房改革支出（款）购房补贴（项）：</w:t>
      </w:r>
      <w:r>
        <w:rPr>
          <w:rFonts w:hint="eastAsia" w:ascii="仿宋" w:hAnsi="仿宋" w:eastAsia="仿宋" w:cs="仿宋"/>
          <w:sz w:val="30"/>
          <w:szCs w:val="30"/>
        </w:rPr>
        <w:t>指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关于完善在京中央和国家机关住房制度的若干意见&gt;的通知》（厅字〔2005〕8号）规定的标准执行，京外中央单位按照所在地人民政府住房分配货币化改革的政策规定和标准执行</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（十二）年末结转结余：</w:t>
      </w:r>
      <w:r>
        <w:rPr>
          <w:rFonts w:hint="eastAsia" w:ascii="仿宋" w:hAnsi="仿宋" w:eastAsia="仿宋" w:cs="仿宋"/>
          <w:sz w:val="30"/>
          <w:szCs w:val="30"/>
        </w:rPr>
        <w:t>指以前年度预算安排、因客观条件发生变化无法按原计划实施，需延迟到以后年度按原规定用途继续使用的资金。</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（十三）基本支出：</w:t>
      </w:r>
      <w:r>
        <w:rPr>
          <w:rFonts w:hint="eastAsia" w:ascii="仿宋" w:hAnsi="仿宋" w:eastAsia="仿宋" w:cs="仿宋"/>
          <w:sz w:val="30"/>
          <w:szCs w:val="30"/>
        </w:rPr>
        <w:t>指为保障机构正常运转、完成日常工作任务而发生的人员支出和公用支出。</w:t>
      </w:r>
    </w:p>
    <w:p>
      <w:pPr>
        <w:spacing w:line="640" w:lineRule="exact"/>
        <w:ind w:firstLine="602" w:firstLineChars="200"/>
        <w:jc w:val="both"/>
        <w:rPr>
          <w:rFonts w:hint="eastAsia" w:ascii="仿宋" w:hAnsi="仿宋" w:eastAsia="仿宋" w:cs="仿宋"/>
          <w:sz w:val="30"/>
          <w:szCs w:val="30"/>
        </w:rPr>
      </w:pPr>
      <w:r>
        <w:rPr>
          <w:rFonts w:hint="eastAsia" w:ascii="仿宋" w:hAnsi="仿宋" w:eastAsia="仿宋" w:cs="仿宋"/>
          <w:b/>
          <w:sz w:val="30"/>
          <w:szCs w:val="30"/>
        </w:rPr>
        <w:t>（十四）项目支出：</w:t>
      </w:r>
      <w:r>
        <w:rPr>
          <w:rFonts w:hint="eastAsia" w:ascii="仿宋" w:hAnsi="仿宋" w:eastAsia="仿宋" w:cs="仿宋"/>
          <w:sz w:val="30"/>
          <w:szCs w:val="30"/>
        </w:rPr>
        <w:t>指在基本支出之外为完成特定任务和事业发展目标所发生的支出。</w:t>
      </w:r>
    </w:p>
    <w:p>
      <w:pPr>
        <w:spacing w:line="640" w:lineRule="exact"/>
        <w:ind w:firstLine="602" w:firstLineChars="200"/>
        <w:jc w:val="both"/>
        <w:rPr>
          <w:rFonts w:hint="eastAsia" w:ascii="仿宋" w:hAnsi="仿宋" w:eastAsia="仿宋" w:cs="仿宋"/>
        </w:rPr>
      </w:pPr>
      <w:r>
        <w:rPr>
          <w:rFonts w:hint="eastAsia" w:ascii="仿宋" w:hAnsi="仿宋" w:eastAsia="仿宋" w:cs="仿宋"/>
          <w:b/>
          <w:sz w:val="30"/>
          <w:szCs w:val="30"/>
        </w:rPr>
        <w:t>（十五）“三公”经费支出：</w:t>
      </w:r>
      <w:r>
        <w:rPr>
          <w:rFonts w:hint="eastAsia" w:ascii="仿宋" w:hAnsi="仿宋" w:eastAsia="仿宋" w:cs="仿宋"/>
          <w:sz w:val="30"/>
          <w:szCs w:val="30"/>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sectPr>
      <w:footerReference r:id="rId10" w:type="default"/>
      <w:pgSz w:w="11910" w:h="16840"/>
      <w:pgMar w:top="1520" w:right="1520" w:bottom="1380" w:left="1580" w:header="0" w:footer="120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57785" cy="147955"/>
              <wp:effectExtent l="0" t="0" r="0" b="0"/>
              <wp:wrapNone/>
              <wp:docPr id="15" name="Text Box 14"/>
              <wp:cNvGraphicFramePr/>
              <a:graphic xmlns:a="http://schemas.openxmlformats.org/drawingml/2006/main">
                <a:graphicData uri="http://schemas.microsoft.com/office/word/2010/wordprocessingShape">
                  <wps:wsp>
                    <wps:cNvSpPr txBox="true">
                      <a:spLocks noChangeArrowheads="true"/>
                    </wps:cNvSpPr>
                    <wps:spPr bwMode="auto">
                      <a:xfrm>
                        <a:off x="0" y="0"/>
                        <a:ext cx="57785" cy="147955"/>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false" upright="true">
                      <a:spAutoFit/>
                    </wps:bodyPr>
                  </wps:wsp>
                </a:graphicData>
              </a:graphic>
            </wp:anchor>
          </w:drawing>
        </mc:Choice>
        <mc:Fallback>
          <w:pict>
            <v:shape id="Text Box 14" o:spid="_x0000_s1026" o:spt="202" type="#_x0000_t202" style="position:absolute;left:0pt;margin-top:0pt;height:11.65pt;width:4.55pt;mso-position-horizontal:right;mso-position-horizontal-relative:margin;mso-wrap-style:none;z-index:251667456;mso-width-relative:page;mso-height-relative:page;" filled="f" stroked="f" coordsize="21600,21600" o:gfxdata="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58scAtEAAAACAQAADwAAAAAAAAABACAAAAA4AAAAZHJzL2Rvd25yZXYueG1sUEsB&#10;AhQAFAAAAAgAh07iQPs+u4DmAQAAwQMAAA4AAAAAAAAAAQAgAAAANgEAAGRycy9lMm9Eb2MueG1s&#10;UEsFBgAAAAAGAAYAWQEAAI4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07950" cy="152400"/>
              <wp:effectExtent l="0" t="0" r="0" b="0"/>
              <wp:wrapNone/>
              <wp:docPr id="14"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top:0pt;height:12pt;width:8.5pt;mso-position-horizontal:right;mso-position-horizontal-relative:margin;z-index:251660288;mso-width-relative:page;mso-height-relative:page;" filled="f" stroked="f" coordsize="21600,21600" o:gfxdata="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HvNfvTAAAAAwEAAA8AAAAAAAAAAQAgAAAAOAAAAGRycy9kb3ducmV2Lnht&#10;bFBLAQIUABQAAAAIAIdO4kBbW9EV6AEAAMMDAAAOAAAAAAAAAAEAIAAAADgBAABkcnMvZTJvRG9j&#10;LnhtbFBLBQYAAAAABgAGAFkBAACS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07950" cy="152400"/>
              <wp:effectExtent l="0" t="0" r="0" b="0"/>
              <wp:wrapNone/>
              <wp:docPr id="13"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w:t>
                          </w:r>
                          <w:r>
                            <w:fldChar w:fldCharType="end"/>
                          </w:r>
                        </w:p>
                      </w:txbxContent>
                    </wps:txbx>
                    <wps:bodyPr rot="0" vert="horz" wrap="square" lIns="0" tIns="0" rIns="0" bIns="0" anchor="t" anchorCtr="false" upright="true">
                      <a:noAutofit/>
                    </wps:bodyPr>
                  </wps:wsp>
                </a:graphicData>
              </a:graphic>
            </wp:anchor>
          </w:drawing>
        </mc:Choice>
        <mc:Fallback>
          <w:pict>
            <v:shape id="Text Box 2" o:spid="_x0000_s1026" o:spt="202" type="#_x0000_t202" style="position:absolute;left:0pt;margin-top:0pt;height:12pt;width:8.5pt;mso-position-horizontal:right;mso-position-horizontal-relative:margin;z-index:251661312;mso-width-relative:page;mso-height-relative:page;" filled="f" stroked="f" coordsize="21600,21600" o:gfxdata="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HvNfvTAAAAAwEAAA8AAAAAAAAAAQAgAAAAOAAAAGRycy9kb3ducmV2Lnht&#10;bFBLAQIUABQAAAAIAIdO4kBVVG8Z6AEAAMMDAAAOAAAAAAAAAAEAIAAAADgBAABkcnMvZTJvRG9j&#10;LnhtbFBLBQYAAAAABgAGAFkBAACS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66370" cy="152400"/>
              <wp:effectExtent l="0" t="0" r="0" b="0"/>
              <wp:wrapNone/>
              <wp:docPr id="12"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w:t>
                          </w:r>
                          <w:r>
                            <w:fldChar w:fldCharType="end"/>
                          </w:r>
                        </w:p>
                      </w:txbxContent>
                    </wps:txbx>
                    <wps:bodyPr rot="0" vert="horz" wrap="square" lIns="0" tIns="0" rIns="0" bIns="0" anchor="t" anchorCtr="false" upright="true">
                      <a:noAutofit/>
                    </wps:bodyPr>
                  </wps:wsp>
                </a:graphicData>
              </a:graphic>
            </wp:anchor>
          </w:drawing>
        </mc:Choice>
        <mc:Fallback>
          <w:pict>
            <v:shape id="Text Box 3" o:spid="_x0000_s1026" o:spt="202" type="#_x0000_t202" style="position:absolute;left:0pt;margin-top:0pt;height:12pt;width:13.1pt;mso-position-horizontal:right;mso-position-horizontal-relative:margin;z-index:251662336;mso-width-relative:page;mso-height-relative:page;" filled="f" stroked="f" coordsize="21600,21600" o:gfxdata="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JPkILTAAAAAwEAAA8AAAAAAAAAAQAgAAAAOAAAAGRycy9kb3ducmV2Lnht&#10;bFBLAQIUABQAAAAIAIdO4kDQz8pP6AEAAMMDAAAOAAAAAAAAAAEAIAAAADgBAABkcnMvZTJvRG9j&#10;LnhtbFBLBQYAAAAABgAGAFkBAACS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66370" cy="153035"/>
              <wp:effectExtent l="0" t="0" r="0" b="0"/>
              <wp:wrapNone/>
              <wp:docPr id="11"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166370" cy="153035"/>
                      </a:xfrm>
                      <a:prstGeom prst="rect">
                        <a:avLst/>
                      </a:prstGeom>
                      <a:noFill/>
                      <a:ln>
                        <a:noFill/>
                      </a:ln>
                    </wps:spPr>
                    <wps:txbx>
                      <w:txbxContent>
                        <w:p>
                          <w:pPr>
                            <w:spacing w:before="1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wps:txbx>
                    <wps:bodyPr rot="0" vert="horz" wrap="square" lIns="0" tIns="0" rIns="0" bIns="0" anchor="t" anchorCtr="false" upright="true">
                      <a:noAutofit/>
                    </wps:bodyPr>
                  </wps:wsp>
                </a:graphicData>
              </a:graphic>
            </wp:anchor>
          </w:drawing>
        </mc:Choice>
        <mc:Fallback>
          <w:pict>
            <v:shape id="Text Box 4" o:spid="_x0000_s1026" o:spt="202" type="#_x0000_t202" style="position:absolute;left:0pt;margin-top:0pt;height:12.05pt;width:13.1pt;mso-position-horizontal:right;mso-position-horizontal-relative:margin;z-index:251663360;mso-width-relative:page;mso-height-relative:page;" filled="f" stroked="f" coordsize="21600,21600" o:gfxdata="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s9yVdIAAAADAQAADwAAAAAAAAABACAAAAA4AAAAZHJzL2Rvd25yZXYueG1s&#10;UEsBAhQAFAAAAAgAh07iQMpoyKDoAQAAwwMAAA4AAAAAAAAAAQAgAAAANwEAAGRycy9lMm9Eb2Mu&#10;eG1sUEsFBgAAAAAGAAYAWQEAAJEFAAAAAA==&#10;">
              <v:fill on="f" focussize="0,0"/>
              <v:stroke on="f"/>
              <v:imagedata o:title=""/>
              <o:lock v:ext="edit" aspectratio="f"/>
              <v:textbox inset="0mm,0mm,0mm,0mm">
                <w:txbxContent>
                  <w:p>
                    <w:pPr>
                      <w:spacing w:before="13"/>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66370" cy="152400"/>
              <wp:effectExtent l="0" t="0" r="0" b="0"/>
              <wp:wrapNone/>
              <wp:docPr id="10" name="Text Box 5"/>
              <wp:cNvGraphicFramePr/>
              <a:graphic xmlns:a="http://schemas.openxmlformats.org/drawingml/2006/main">
                <a:graphicData uri="http://schemas.microsoft.com/office/word/2010/wordprocessingShape">
                  <wps:wsp>
                    <wps:cNvSpPr txBox="true">
                      <a:spLocks noChangeArrowheads="true"/>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wps:txbx>
                    <wps:bodyPr rot="0" vert="horz" wrap="square" lIns="0" tIns="0" rIns="0" bIns="0" anchor="t" anchorCtr="false" upright="true">
                      <a:noAutofit/>
                    </wps:bodyPr>
                  </wps:wsp>
                </a:graphicData>
              </a:graphic>
            </wp:anchor>
          </w:drawing>
        </mc:Choice>
        <mc:Fallback>
          <w:pict>
            <v:shape id="Text Box 5" o:spid="_x0000_s1026" o:spt="202" type="#_x0000_t202" style="position:absolute;left:0pt;margin-top:0pt;height:12pt;width:13.1pt;mso-position-horizontal:right;mso-position-horizontal-relative:margin;z-index:251664384;mso-width-relative:page;mso-height-relative:page;" filled="f" stroked="f" coordsize="21600,21600" o:gfxdata="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8k+QgtMAAAADAQAADwAAAAAAAAABACAAAAA4AAAAZHJzL2Rvd25yZXYueG1s&#10;UEsBAhQAFAAAAAgAh07iQP13ysznAQAAwwMAAA4AAAAAAAAAAQAgAAAAOAEAAGRycy9lMm9Eb2Mu&#10;eG1sUEsFBgAAAAAGAAYAWQEAAJE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66370" cy="152400"/>
              <wp:effectExtent l="0" t="0" r="0" b="0"/>
              <wp:wrapNone/>
              <wp:docPr id="2" name="Text Box 13"/>
              <wp:cNvGraphicFramePr/>
              <a:graphic xmlns:a="http://schemas.openxmlformats.org/drawingml/2006/main">
                <a:graphicData uri="http://schemas.microsoft.com/office/word/2010/wordprocessingShape">
                  <wps:wsp>
                    <wps:cNvSpPr txBox="true">
                      <a:spLocks noChangeArrowheads="true"/>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34</w:t>
                          </w:r>
                          <w:r>
                            <w:fldChar w:fldCharType="end"/>
                          </w:r>
                        </w:p>
                      </w:txbxContent>
                    </wps:txbx>
                    <wps:bodyPr rot="0" vert="horz" wrap="square" lIns="0" tIns="0" rIns="0" bIns="0" anchor="t" anchorCtr="false" upright="true">
                      <a:noAutofit/>
                    </wps:bodyPr>
                  </wps:wsp>
                </a:graphicData>
              </a:graphic>
            </wp:anchor>
          </w:drawing>
        </mc:Choice>
        <mc:Fallback>
          <w:pict>
            <v:shape id="Text Box 13" o:spid="_x0000_s1026" o:spt="202" type="#_x0000_t202" style="position:absolute;left:0pt;margin-top:0pt;height:12pt;width:13.1pt;mso-position-horizontal:right;mso-position-horizontal-relative:margin;z-index:251665408;mso-width-relative:page;mso-height-relative:page;" filled="f" stroked="f" coordsize="21600,21600" o:gfxdata="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JPkILTAAAAAwEAAA8AAAAAAAAAAQAgAAAAOAAAAGRycy9kb3ducmV2Lnht&#10;bFBLAQIUABQAAAAIAIdO4kDH3fln6AEAAMMDAAAOAAAAAAAAAAEAIAAAADgBAABkcnMvZTJvRG9j&#10;LnhtbFBLBQYAAAAABgAGAFkBAACS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222250" cy="152400"/>
              <wp:effectExtent l="0" t="0" r="0" b="0"/>
              <wp:wrapNone/>
              <wp:docPr id="1" name="Text Box 12"/>
              <wp:cNvGraphicFramePr/>
              <a:graphic xmlns:a="http://schemas.openxmlformats.org/drawingml/2006/main">
                <a:graphicData uri="http://schemas.microsoft.com/office/word/2010/wordprocessingShape">
                  <wps:wsp>
                    <wps:cNvSpPr txBox="true">
                      <a:spLocks noChangeArrowheads="true"/>
                    </wps:cNvSpPr>
                    <wps:spPr bwMode="auto">
                      <a:xfrm>
                        <a:off x="0" y="0"/>
                        <a:ext cx="2222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37</w:t>
                          </w:r>
                          <w:r>
                            <w:fldChar w:fldCharType="end"/>
                          </w:r>
                        </w:p>
                      </w:txbxContent>
                    </wps:txbx>
                    <wps:bodyPr rot="0" vert="horz" wrap="square" lIns="0" tIns="0" rIns="0" bIns="0" anchor="t" anchorCtr="false" upright="true">
                      <a:noAutofit/>
                    </wps:bodyPr>
                  </wps:wsp>
                </a:graphicData>
              </a:graphic>
            </wp:anchor>
          </w:drawing>
        </mc:Choice>
        <mc:Fallback>
          <w:pict>
            <v:shape id="Text Box 12" o:spid="_x0000_s1026" o:spt="202" type="#_x0000_t202" style="position:absolute;left:0pt;margin-top:0pt;height:12pt;width:17.5pt;mso-position-horizontal:right;mso-position-horizontal-relative:margin;z-index:251666432;mso-width-relative:page;mso-height-relative:page;" filled="f" stroked="f" coordsize="21600,21600" o:gfxdata="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c6dRPtMAAAADAQAADwAAAAAAAAABACAAAAA4AAAAZHJzL2Rvd25yZXYueG1s&#10;UEsBAhQAFAAAAAgAh07iQBXXNprnAQAAwwMAAA4AAAAAAAAAAQAgAAAAOAEAAGRycy9lMm9Eb2Mu&#10;eG1sUEsFBgAAAAAGAAYAWQEAAJE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9A7E9"/>
    <w:multiLevelType w:val="singleLevel"/>
    <w:tmpl w:val="8689A7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1NGVlYTQ0NWVjYTNkYjMzYWEzNDZlZGI3Yzk0ZTAifQ=="/>
  </w:docVars>
  <w:rsids>
    <w:rsidRoot w:val="00655F3C"/>
    <w:rsid w:val="00081DF3"/>
    <w:rsid w:val="001032F6"/>
    <w:rsid w:val="001503F6"/>
    <w:rsid w:val="002174E5"/>
    <w:rsid w:val="00247343"/>
    <w:rsid w:val="002E1FDB"/>
    <w:rsid w:val="003F6821"/>
    <w:rsid w:val="005A1BB8"/>
    <w:rsid w:val="005B5042"/>
    <w:rsid w:val="00655F3C"/>
    <w:rsid w:val="00B06AFB"/>
    <w:rsid w:val="01472527"/>
    <w:rsid w:val="01DB70C6"/>
    <w:rsid w:val="0233386D"/>
    <w:rsid w:val="04417E74"/>
    <w:rsid w:val="05B22616"/>
    <w:rsid w:val="0609217A"/>
    <w:rsid w:val="074A1D85"/>
    <w:rsid w:val="07DE5105"/>
    <w:rsid w:val="08585A0C"/>
    <w:rsid w:val="08B34940"/>
    <w:rsid w:val="0B6C412D"/>
    <w:rsid w:val="0C1E4659"/>
    <w:rsid w:val="0C78620C"/>
    <w:rsid w:val="0C824DB4"/>
    <w:rsid w:val="0CF84031"/>
    <w:rsid w:val="0E3C1CFB"/>
    <w:rsid w:val="0EDB59B8"/>
    <w:rsid w:val="0EF30C40"/>
    <w:rsid w:val="1055182C"/>
    <w:rsid w:val="105621D9"/>
    <w:rsid w:val="13111B57"/>
    <w:rsid w:val="174235B9"/>
    <w:rsid w:val="18FA4913"/>
    <w:rsid w:val="195F2D42"/>
    <w:rsid w:val="19632D80"/>
    <w:rsid w:val="1A1D4E0C"/>
    <w:rsid w:val="1AA31609"/>
    <w:rsid w:val="1AE65363"/>
    <w:rsid w:val="1C712E99"/>
    <w:rsid w:val="20936DBA"/>
    <w:rsid w:val="219F0AC7"/>
    <w:rsid w:val="23713D9D"/>
    <w:rsid w:val="23F16DC2"/>
    <w:rsid w:val="24BE63C7"/>
    <w:rsid w:val="253946AA"/>
    <w:rsid w:val="25D16D75"/>
    <w:rsid w:val="26427137"/>
    <w:rsid w:val="26BC4CA7"/>
    <w:rsid w:val="28810F26"/>
    <w:rsid w:val="2A172D08"/>
    <w:rsid w:val="2A1F09F7"/>
    <w:rsid w:val="2A9036A3"/>
    <w:rsid w:val="2B231E21"/>
    <w:rsid w:val="2BCC4267"/>
    <w:rsid w:val="2E93519D"/>
    <w:rsid w:val="2ED824C4"/>
    <w:rsid w:val="309537C1"/>
    <w:rsid w:val="32EB3B6C"/>
    <w:rsid w:val="33791178"/>
    <w:rsid w:val="371E7C6D"/>
    <w:rsid w:val="380A4F3A"/>
    <w:rsid w:val="381008CD"/>
    <w:rsid w:val="3842422E"/>
    <w:rsid w:val="385C6972"/>
    <w:rsid w:val="38767A34"/>
    <w:rsid w:val="3EF913BF"/>
    <w:rsid w:val="46592A5B"/>
    <w:rsid w:val="46EE0AC6"/>
    <w:rsid w:val="47CA7D9C"/>
    <w:rsid w:val="48E576D3"/>
    <w:rsid w:val="49AC683C"/>
    <w:rsid w:val="4A8F0E29"/>
    <w:rsid w:val="4AEB170C"/>
    <w:rsid w:val="4B865D88"/>
    <w:rsid w:val="4BAD0C70"/>
    <w:rsid w:val="4C062CB9"/>
    <w:rsid w:val="4C806C7C"/>
    <w:rsid w:val="4D6A2F23"/>
    <w:rsid w:val="4DCA28A4"/>
    <w:rsid w:val="4EAC01FC"/>
    <w:rsid w:val="4F130448"/>
    <w:rsid w:val="4F1605F8"/>
    <w:rsid w:val="5330262F"/>
    <w:rsid w:val="53D1600F"/>
    <w:rsid w:val="568F2C3F"/>
    <w:rsid w:val="575F5238"/>
    <w:rsid w:val="57890964"/>
    <w:rsid w:val="580C067A"/>
    <w:rsid w:val="58A77E99"/>
    <w:rsid w:val="58F559C1"/>
    <w:rsid w:val="59ED3476"/>
    <w:rsid w:val="5A5E0D24"/>
    <w:rsid w:val="5B5172F3"/>
    <w:rsid w:val="5BD41927"/>
    <w:rsid w:val="5D342B88"/>
    <w:rsid w:val="5DD45079"/>
    <w:rsid w:val="5E307BDC"/>
    <w:rsid w:val="5E624B86"/>
    <w:rsid w:val="60DD45B9"/>
    <w:rsid w:val="610E43FE"/>
    <w:rsid w:val="61A30FEA"/>
    <w:rsid w:val="64095A6E"/>
    <w:rsid w:val="682E6163"/>
    <w:rsid w:val="68646FFA"/>
    <w:rsid w:val="6894144F"/>
    <w:rsid w:val="689F1089"/>
    <w:rsid w:val="68AD274F"/>
    <w:rsid w:val="69510FD4"/>
    <w:rsid w:val="6A687A03"/>
    <w:rsid w:val="6A7B4AE1"/>
    <w:rsid w:val="6AB2229E"/>
    <w:rsid w:val="6B765B01"/>
    <w:rsid w:val="6BAE297C"/>
    <w:rsid w:val="6FBF0E9B"/>
    <w:rsid w:val="6FF11ECF"/>
    <w:rsid w:val="70200F31"/>
    <w:rsid w:val="70E42291"/>
    <w:rsid w:val="7379604F"/>
    <w:rsid w:val="7447231B"/>
    <w:rsid w:val="77092451"/>
    <w:rsid w:val="77202753"/>
    <w:rsid w:val="78320EC2"/>
    <w:rsid w:val="79767890"/>
    <w:rsid w:val="79824415"/>
    <w:rsid w:val="7A5073DE"/>
    <w:rsid w:val="7AC06311"/>
    <w:rsid w:val="7B6605D9"/>
    <w:rsid w:val="7B712C8E"/>
    <w:rsid w:val="7B9C5CA1"/>
    <w:rsid w:val="7C0A352C"/>
    <w:rsid w:val="7C417926"/>
    <w:rsid w:val="7DC97EA5"/>
    <w:rsid w:val="7EC4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800" w:right="672" w:hanging="2038"/>
      <w:outlineLvl w:val="0"/>
    </w:pPr>
    <w:rPr>
      <w:rFonts w:ascii="宋体" w:hAnsi="宋体" w:eastAsia="宋体" w:cs="宋体"/>
      <w:b/>
      <w:bCs/>
      <w:sz w:val="44"/>
      <w:szCs w:val="44"/>
    </w:rPr>
  </w:style>
  <w:style w:type="paragraph" w:styleId="3">
    <w:name w:val="heading 2"/>
    <w:basedOn w:val="1"/>
    <w:next w:val="1"/>
    <w:qFormat/>
    <w:uiPriority w:val="1"/>
    <w:pPr>
      <w:spacing w:before="55"/>
      <w:outlineLvl w:val="1"/>
    </w:pPr>
    <w:rPr>
      <w:rFonts w:ascii="宋体" w:hAnsi="宋体" w:eastAsia="宋体" w:cs="宋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1"/>
    <w:next w:val="1"/>
    <w:qFormat/>
    <w:uiPriority w:val="1"/>
    <w:pPr>
      <w:spacing w:before="63"/>
      <w:ind w:left="137"/>
    </w:pPr>
    <w:rPr>
      <w:rFonts w:ascii="黑体" w:hAnsi="黑体" w:eastAsia="黑体" w:cs="黑体"/>
      <w:sz w:val="32"/>
      <w:szCs w:val="32"/>
    </w:rPr>
  </w:style>
  <w:style w:type="paragraph" w:styleId="8">
    <w:name w:val="toc 2"/>
    <w:basedOn w:val="1"/>
    <w:next w:val="1"/>
    <w:qFormat/>
    <w:uiPriority w:val="1"/>
    <w:pPr>
      <w:spacing w:before="63"/>
      <w:ind w:left="355"/>
    </w:pPr>
    <w:rPr>
      <w:rFonts w:ascii="楷体" w:hAnsi="楷体" w:eastAsia="楷体" w:cs="楷体"/>
      <w:sz w:val="32"/>
      <w:szCs w:val="32"/>
    </w:rPr>
  </w:style>
  <w:style w:type="character" w:styleId="11">
    <w:name w:val="page number"/>
    <w:basedOn w:val="10"/>
    <w:qFormat/>
    <w:uiPriority w:val="0"/>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22" w:firstLine="640"/>
      <w:jc w:val="both"/>
    </w:pPr>
  </w:style>
  <w:style w:type="paragraph" w:customStyle="1" w:styleId="14">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1">
                    <a:lumMod val="65000"/>
                    <a:lumOff val="35000"/>
                  </a:schemeClr>
                </a:solidFill>
                <a:latin typeface="+mn-lt"/>
                <a:ea typeface="+mn-ea"/>
                <a:cs typeface="+mn-cs"/>
              </a:defRPr>
            </a:pPr>
            <a:r>
              <a:t>收入占比</a:t>
            </a:r>
          </a:p>
        </c:rich>
      </c:tx>
      <c:layout/>
      <c:overlay val="false"/>
      <c:spPr>
        <a:noFill/>
        <a:ln>
          <a:noFill/>
        </a:ln>
        <a:effectLst/>
      </c:spPr>
    </c:title>
    <c:autoTitleDeleted val="false"/>
    <c:plotArea>
      <c:layout>
        <c:manualLayout>
          <c:layoutTarget val="inner"/>
          <c:xMode val="edge"/>
          <c:yMode val="edge"/>
          <c:x val="0.227525"/>
          <c:y val="0.194533333333333"/>
          <c:w val="0.5467"/>
          <c:h val="0.728933333333333"/>
        </c:manualLayout>
      </c:layout>
      <c:pieChart>
        <c:varyColors val="true"/>
        <c:ser>
          <c:idx val="0"/>
          <c:order val="0"/>
          <c:tx>
            <c:strRef>
              <c:f>Sheet1!$B$1</c:f>
              <c:strCache>
                <c:ptCount val="1"/>
                <c:pt idx="0">
                  <c:v>占比</c:v>
                </c:pt>
              </c:strCache>
            </c:strRef>
          </c:tx>
          <c:spPr/>
          <c:explosion val="0"/>
          <c:dPt>
            <c:idx val="0"/>
            <c:bubble3D val="false"/>
            <c:explosion val="0"/>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dPt>
          <c:dPt>
            <c:idx val="1"/>
            <c:bubble3D val="false"/>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dPt>
          <c:dPt>
            <c:idx val="2"/>
            <c:bubble3D val="false"/>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dPt>
          <c:dPt>
            <c:idx val="3"/>
            <c:bubble3D val="false"/>
            <c:spPr>
              <a:gradFill rotWithShape="true">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false"/>
              </a:gradFill>
              <a:ln>
                <a:noFill/>
              </a:ln>
              <a:effectLst>
                <a:outerShdw blurRad="40000" dist="23000" dir="5400000" rotWithShape="0">
                  <a:srgbClr val="000000">
                    <a:alpha val="35000"/>
                  </a:srgbClr>
                </a:outerShdw>
              </a:effectLst>
            </c:spPr>
          </c:dPt>
          <c:dPt>
            <c:idx val="4"/>
            <c:bubble3D val="false"/>
            <c:spPr>
              <a:gradFill rotWithShape="true">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false"/>
              </a:gradFill>
              <a:ln>
                <a:noFill/>
              </a:ln>
              <a:effectLst>
                <a:outerShdw blurRad="40000" dist="23000" dir="5400000" rotWithShape="0">
                  <a:srgbClr val="000000">
                    <a:alpha val="35000"/>
                  </a:srgbClr>
                </a:outerShdw>
              </a:effectLst>
            </c:spPr>
          </c:dPt>
          <c:dLbls>
            <c:dLbl>
              <c:idx val="2"/>
              <c:layout>
                <c:manualLayout>
                  <c:x val="-0.0547610092632382"/>
                  <c:y val="0.00926588093340788"/>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3"/>
              <c:layout>
                <c:manualLayout>
                  <c:x val="0.0697549464020072"/>
                  <c:y val="0.139821027929701"/>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4"/>
              <c:layout>
                <c:manualLayout>
                  <c:x val="-0.0486371594217556"/>
                  <c:y val="0.00122228125823146"/>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财政拨款收入</c:v>
                </c:pt>
                <c:pt idx="1">
                  <c:v>事业收入</c:v>
                </c:pt>
                <c:pt idx="2">
                  <c:v>其他收入</c:v>
                </c:pt>
                <c:pt idx="3">
                  <c:v>年初结转和结余</c:v>
                </c:pt>
                <c:pt idx="4">
                  <c:v>非财政拨款结余</c:v>
                </c:pt>
              </c:strCache>
            </c:strRef>
          </c:cat>
          <c:val>
            <c:numRef>
              <c:f>Sheet1!$B$2:$B$6</c:f>
              <c:numCache>
                <c:formatCode>0%</c:formatCode>
                <c:ptCount val="5"/>
                <c:pt idx="0">
                  <c:v>0.5909</c:v>
                </c:pt>
                <c:pt idx="1" c:formatCode="0.00%">
                  <c:v>0.2945</c:v>
                </c:pt>
                <c:pt idx="2" c:formatCode="0.00%">
                  <c:v>0.0109</c:v>
                </c:pt>
                <c:pt idx="3" c:formatCode="0.00%">
                  <c:v>0.0887</c:v>
                </c:pt>
                <c:pt idx="4" c:formatCode="0.00%">
                  <c:v>0.015</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1">
                    <a:lumMod val="65000"/>
                    <a:lumOff val="35000"/>
                  </a:schemeClr>
                </a:solidFill>
                <a:latin typeface="+mn-lt"/>
                <a:ea typeface="+mn-ea"/>
                <a:cs typeface="+mn-cs"/>
              </a:defRPr>
            </a:pPr>
            <a:r>
              <a:t>支出占比</a:t>
            </a:r>
          </a:p>
        </c:rich>
      </c:tx>
      <c:layout>
        <c:manualLayout>
          <c:xMode val="edge"/>
          <c:yMode val="edge"/>
          <c:x val="0.4345"/>
          <c:y val="0.0175"/>
        </c:manualLayout>
      </c:layout>
      <c:overlay val="false"/>
      <c:spPr>
        <a:noFill/>
        <a:ln>
          <a:noFill/>
        </a:ln>
        <a:effectLst/>
      </c:spPr>
    </c:title>
    <c:autoTitleDeleted val="false"/>
    <c:plotArea>
      <c:layout>
        <c:manualLayout>
          <c:layoutTarget val="inner"/>
          <c:xMode val="edge"/>
          <c:yMode val="edge"/>
          <c:x val="0.2146875"/>
          <c:y val="0.124666666666667"/>
          <c:w val="0.570625"/>
          <c:h val="0.760833333333333"/>
        </c:manualLayout>
      </c:layout>
      <c:pieChart>
        <c:varyColors val="true"/>
        <c:ser>
          <c:idx val="0"/>
          <c:order val="0"/>
          <c:tx>
            <c:strRef>
              <c:f>Sheet1!$B$1</c:f>
              <c:strCache>
                <c:ptCount val="1"/>
                <c:pt idx="0">
                  <c:v>销售额</c:v>
                </c:pt>
              </c:strCache>
            </c:strRef>
          </c:tx>
          <c:spPr/>
          <c:explosion val="0"/>
          <c:dPt>
            <c:idx val="0"/>
            <c:bubble3D val="false"/>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dPt>
          <c:dPt>
            <c:idx val="1"/>
            <c:bubble3D val="false"/>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dPt>
          <c:dPt>
            <c:idx val="2"/>
            <c:bubble3D val="false"/>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dPt>
          <c:dPt>
            <c:idx val="3"/>
            <c:bubble3D val="false"/>
            <c:spPr>
              <a:gradFill rotWithShape="true">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false"/>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资源勘探工业信息等支出</c:v>
                </c:pt>
                <c:pt idx="1">
                  <c:v>社会保障和就业（类）</c:v>
                </c:pt>
                <c:pt idx="2">
                  <c:v>住房保障（类）</c:v>
                </c:pt>
                <c:pt idx="3">
                  <c:v>年末结转和结余（财政拨款结转）</c:v>
                </c:pt>
              </c:strCache>
            </c:strRef>
          </c:cat>
          <c:val>
            <c:numRef>
              <c:f>Sheet1!$B$2:$B$5</c:f>
              <c:numCache>
                <c:formatCode>0.00%</c:formatCode>
                <c:ptCount val="4"/>
                <c:pt idx="0">
                  <c:v>0.547833533625413</c:v>
                </c:pt>
                <c:pt idx="1">
                  <c:v>0.0573103454801805</c:v>
                </c:pt>
                <c:pt idx="2">
                  <c:v>0.0540362796771355</c:v>
                </c:pt>
                <c:pt idx="3">
                  <c:v>0.340819841217271</c:v>
                </c:pt>
              </c:numCache>
            </c:numRef>
          </c:val>
        </c:ser>
        <c:dLbls>
          <c:showLegendKey val="false"/>
          <c:showVal val="false"/>
          <c:showCatName val="tru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chemeClr val="tx1">
                    <a:lumMod val="65000"/>
                    <a:lumOff val="35000"/>
                  </a:schemeClr>
                </a:solidFill>
                <a:latin typeface="+mn-lt"/>
                <a:ea typeface="+mn-ea"/>
                <a:cs typeface="+mn-cs"/>
              </a:defRPr>
            </a:pPr>
            <a:r>
              <a:t>支出占比</a:t>
            </a:r>
          </a:p>
        </c:rich>
      </c:tx>
      <c:layout/>
      <c:overlay val="false"/>
      <c:spPr>
        <a:noFill/>
        <a:ln>
          <a:noFill/>
        </a:ln>
        <a:effectLst/>
      </c:spPr>
    </c:title>
    <c:autoTitleDeleted val="false"/>
    <c:plotArea>
      <c:layout/>
      <c:pieChart>
        <c:varyColors val="true"/>
        <c:ser>
          <c:idx val="0"/>
          <c:order val="0"/>
          <c:tx>
            <c:strRef>
              <c:f>Sheet1!$B$1</c:f>
              <c:strCache>
                <c:ptCount val="1"/>
                <c:pt idx="0">
                  <c:v>列1</c:v>
                </c:pt>
              </c:strCache>
            </c:strRef>
          </c:tx>
          <c:spPr/>
          <c:explosion val="0"/>
          <c:dPt>
            <c:idx val="0"/>
            <c:bubble3D val="false"/>
            <c:spPr>
              <a:gradFill rotWithShape="true">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a:effectLst>
                <a:outerShdw blurRad="40000" dist="23000" dir="5400000" rotWithShape="0">
                  <a:srgbClr val="000000">
                    <a:alpha val="35000"/>
                  </a:srgbClr>
                </a:outerShdw>
              </a:effectLst>
            </c:spPr>
          </c:dPt>
          <c:dPt>
            <c:idx val="1"/>
            <c:bubble3D val="false"/>
            <c:spPr>
              <a:gradFill rotWithShape="true">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a:effectLst>
                <a:outerShdw blurRad="40000" dist="23000" dir="5400000" rotWithShape="0">
                  <a:srgbClr val="000000">
                    <a:alpha val="35000"/>
                  </a:srgbClr>
                </a:outerShdw>
              </a:effectLst>
            </c:spPr>
          </c:dPt>
          <c:dPt>
            <c:idx val="2"/>
            <c:bubble3D val="false"/>
            <c:spPr>
              <a:gradFill rotWithShape="true">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a:effectLst>
                <a:outerShdw blurRad="40000" dist="23000" dir="5400000" rotWithShape="0">
                  <a:srgbClr val="000000">
                    <a:alpha val="35000"/>
                  </a:srgbClr>
                </a:outerShdw>
              </a:effectLst>
            </c:spPr>
          </c:dPt>
          <c:dPt>
            <c:idx val="3"/>
            <c:bubble3D val="false"/>
            <c:spPr>
              <a:gradFill rotWithShape="true">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false"/>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资源勘探工业信息等支出</c:v>
                </c:pt>
                <c:pt idx="1">
                  <c:v>社会保障和就业支出</c:v>
                </c:pt>
                <c:pt idx="2">
                  <c:v>住房保障支出</c:v>
                </c:pt>
              </c:strCache>
            </c:strRef>
          </c:cat>
          <c:val>
            <c:numRef>
              <c:f>Sheet1!$B$2:$B$5</c:f>
              <c:numCache>
                <c:formatCode>0.00%</c:formatCode>
                <c:ptCount val="4"/>
                <c:pt idx="0">
                  <c:v>0.828117799840811</c:v>
                </c:pt>
                <c:pt idx="1">
                  <c:v>0.0245765433650315</c:v>
                </c:pt>
                <c:pt idx="2">
                  <c:v>0.147305656794157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7305</Words>
  <Characters>9826</Characters>
  <Lines>145</Lines>
  <Paragraphs>41</Paragraphs>
  <TotalTime>32</TotalTime>
  <ScaleCrop>false</ScaleCrop>
  <LinksUpToDate>false</LinksUpToDate>
  <CharactersWithSpaces>10242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2021-07-26T15:45:00Z</dcterms:created>
  <dc:creator>Microsoft</dc:creator>
  <cp:lastModifiedBy>kylin</cp:lastModifiedBy>
  <cp:lastPrinted>2021-07-27T17:05:00Z</cp:lastPrinted>
  <dcterms:modified xsi:type="dcterms:W3CDTF">2023-08-18T17:37:47Z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WPS 文字</vt:lpwstr>
  </property>
  <property fmtid="{D5CDD505-2E9C-101B-9397-08002B2CF9AE}" pid="4" name="LastSaved">
    <vt:filetime>2021-07-21T00:00:00Z</vt:filetime>
  </property>
  <property fmtid="{D5CDD505-2E9C-101B-9397-08002B2CF9AE}" pid="5" name="KSOProductBuildVer">
    <vt:lpwstr>2052-11.8.2.10422</vt:lpwstr>
  </property>
  <property fmtid="{D5CDD505-2E9C-101B-9397-08002B2CF9AE}" pid="6" name="ICV">
    <vt:lpwstr>BAF4F9E5A3394705AC81B887CCE8A47E_13</vt:lpwstr>
  </property>
</Properties>
</file>