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社会成熟人才招聘岗位</w:t>
      </w:r>
    </w:p>
    <w:bookmarkEnd w:id="0"/>
    <w:tbl>
      <w:tblPr>
        <w:tblStyle w:val="3"/>
        <w:tblW w:w="581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13"/>
        <w:gridCol w:w="1311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3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能力要求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电气工程等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须符合下列条件之一：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1、具有火力发电或民用建筑设计及项目管理五年及以上工作经验；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2、具备220kV及以上架空线路或电缆工程主设人以上业绩和能力，五年及以上工作经验；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3、具有设计院或大型电力设备厂商直流技术工作三年及以上工作经验；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4、具有综合能源或微网类平台开发或现场运行五年及以上工作经验；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5、具有光伏发电、风力发电设计或项目管理相关两年及以上工作经验；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6、具有建筑电气、绿建节能设计或项目管理五年及以上工作经验。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结构工程、钢结构等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须符合下列条件之一：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1、具备220kV及以上架空线路或电缆工程主设人以上业绩和能力，五年及以上工作经验；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、具有光伏发电、风力发电设计或项目管理相关两年及以上工作经验；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3、具有园区、住宅、办公楼多层、高层结构方案与施工图设计能力与设计业绩，五年及以上工作经验；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4、具有大中型总承包项目设计、管理经验，或国际工程设计经验且具备应用国际规范能力，具有五年以上工作经验。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海洋结构工程师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船舶与海洋工程、海洋工程与技术等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具有海上风电工程设计或项目管理三年及以上工作经验。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建筑设计师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具有工业、园区、住宅、办公楼等建筑设计五年及以上工作经验。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项目管理师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项目管理等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具有电源、电网类总承包项目管理或施工管理五年及以上工作经验；熟悉施工工艺、流程和工程标准，有较强的组织协调和管理能力。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软件工程等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具有可视化技术工作、大数据与数据中心技术工作三年及以上工作经验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有输电线路专业或铁路、高速公路、长输管道、桥梁、索道等专业背景或从业经历者优先)。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环境工程师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环境工程等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具有污染土治理三年及以上工作经验，具备一定的市场开发能力。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国际商务管理师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国际商务等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能源电力相关领域海外市场开发三年及以上工作经验(有长期驻外的经历或者愿意长期驻外者优先)。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投融资分析师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技术经济、金融等</w:t>
            </w:r>
          </w:p>
        </w:tc>
        <w:tc>
          <w:tcPr>
            <w:tcW w:w="3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具有能源电力类项目投资分析、开发或运营管理经验三年及以上工作经验；熟悉能源电力项目开发的法律法规及政策要求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8460F"/>
    <w:rsid w:val="59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2021-12-09T07:25:00Z</dcterms:created>
  <dc:creator>殷丰收</dc:creator>
  <cp:lastModifiedBy>殷丰收</cp:lastModifiedBy>
  <dcterms:modified xsi:type="dcterms:W3CDTF">2021-12-09T07:25:47Z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0C036ED97879438DB361E4B3881C00C9</vt:lpwstr>
  </property>
</Properties>
</file>