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  <w:t>2021年国有企业新闻宣传工作网络培训班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  <w:t>——新媒体实战</w:t>
      </w: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  <w:t>训练营课程表</w:t>
      </w:r>
    </w:p>
    <w:tbl>
      <w:tblPr>
        <w:tblStyle w:val="5"/>
        <w:tblW w:w="58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4004"/>
        <w:gridCol w:w="5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课程</w:t>
            </w:r>
          </w:p>
        </w:tc>
        <w:tc>
          <w:tcPr>
            <w:tcW w:w="2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传播新生态中的企业传播</w:t>
            </w:r>
          </w:p>
        </w:tc>
        <w:tc>
          <w:tcPr>
            <w:tcW w:w="2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中宣部媒体融合专家组成员，中国人民大学新闻学院教授、博士生导师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宋建武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9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源流说——内容生产与分发</w:t>
            </w:r>
          </w:p>
        </w:tc>
        <w:tc>
          <w:tcPr>
            <w:tcW w:w="2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一点资讯高级顾问，人民网人民在线高级顾问，《源流说》作者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吴晨光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议题构建和传播能力</w:t>
            </w:r>
          </w:p>
        </w:tc>
        <w:tc>
          <w:tcPr>
            <w:tcW w:w="2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中国互联网发展基金会项目负责人，中国青少年新媒体协会常务理事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闫光宇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心智战争——算法时代的品牌赋新方法论</w:t>
            </w:r>
          </w:p>
        </w:tc>
        <w:tc>
          <w:tcPr>
            <w:tcW w:w="2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“数字品牌榜”发起人,《新媒体革命2.0》作者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仇勇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可视化时代的破圈探索</w:t>
            </w:r>
          </w:p>
        </w:tc>
        <w:tc>
          <w:tcPr>
            <w:tcW w:w="2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四川广播电视台《四川观察》总编辑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岳学渊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品牌营销新思维新打法</w:t>
            </w:r>
          </w:p>
        </w:tc>
        <w:tc>
          <w:tcPr>
            <w:tcW w:w="2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《精准内容——让你的内容品效合一》作者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黎媛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新媒体运维与矩阵管理</w:t>
            </w:r>
          </w:p>
        </w:tc>
        <w:tc>
          <w:tcPr>
            <w:tcW w:w="2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中共银川市委信息中心副主任，@问政银川运维团队成员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徐刚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9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刷屏时代的公关价值重塑</w:t>
            </w:r>
          </w:p>
        </w:tc>
        <w:tc>
          <w:tcPr>
            <w:tcW w:w="2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自媒体万能的大叔，《刷屏》作者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霍世杰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9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超级网红IP——品牌引爆之路</w:t>
            </w:r>
          </w:p>
        </w:tc>
        <w:tc>
          <w:tcPr>
            <w:tcW w:w="2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NewMedia新媒体联盟发起人，《超级网红IP》作者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袁国宝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9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央企品牌升级与社交媒体传播实践</w:t>
            </w:r>
          </w:p>
        </w:tc>
        <w:tc>
          <w:tcPr>
            <w:tcW w:w="2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800" w:leftChars="0" w:right="0" w:rightChars="0" w:hanging="2800" w:hangingChars="10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新浪微博政务运营总经理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u w:val="none"/>
                <w:vertAlign w:val="baseline"/>
                <w:lang w:val="en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李峥嵘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9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知乎政务运营三论</w:t>
            </w:r>
          </w:p>
        </w:tc>
        <w:tc>
          <w:tcPr>
            <w:tcW w:w="25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" w:eastAsia="zh-CN" w:bidi="ar-SA"/>
              </w:rPr>
              <w:t xml:space="preserve">知乎运营总监  </w:t>
            </w:r>
            <w:r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" w:eastAsia="zh-CN" w:bidi="ar-SA"/>
              </w:rPr>
              <w:t>陈歆</w:t>
            </w:r>
          </w:p>
        </w:tc>
      </w:tr>
    </w:tbl>
    <w:p/>
    <w:p>
      <w:pPr>
        <w:spacing w:line="360" w:lineRule="auto"/>
        <w:jc w:val="left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注：课程以实际安排为准。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B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裤擦里的咯咯哒</cp:lastModifiedBy>
  <dcterms:modified xsi:type="dcterms:W3CDTF">2021-07-27T06:03:28Z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923C30D9D8354507A24644DF0B1881AD</vt:lpwstr>
  </property>
</Properties>
</file>